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589B" w14:textId="5FDA1740" w:rsidR="00F6441E" w:rsidRDefault="00F6441E" w:rsidP="00C77D34">
      <w:pPr>
        <w:jc w:val="both"/>
        <w:rPr>
          <w:b/>
          <w:sz w:val="22"/>
          <w:szCs w:val="22"/>
          <w:lang w:val="en-GB"/>
        </w:rPr>
      </w:pPr>
      <w:r>
        <w:rPr>
          <w:b/>
          <w:sz w:val="22"/>
          <w:szCs w:val="22"/>
          <w:lang w:val="en-GB"/>
        </w:rPr>
        <w:t xml:space="preserve">An increased offering with CASE’s </w:t>
      </w:r>
      <w:r w:rsidR="008D0B2D" w:rsidRPr="008D0B2D">
        <w:rPr>
          <w:b/>
          <w:sz w:val="22"/>
          <w:szCs w:val="22"/>
          <w:lang w:val="en-GB"/>
        </w:rPr>
        <w:t xml:space="preserve">New CX245D SR excavator </w:t>
      </w:r>
    </w:p>
    <w:p w14:paraId="2D1AD427" w14:textId="77777777" w:rsidR="00F6441E" w:rsidRDefault="00F6441E" w:rsidP="00C77D34">
      <w:pPr>
        <w:jc w:val="both"/>
        <w:rPr>
          <w:b/>
          <w:sz w:val="22"/>
          <w:szCs w:val="22"/>
          <w:lang w:val="en-GB"/>
        </w:rPr>
      </w:pPr>
    </w:p>
    <w:p w14:paraId="5BC9488E" w14:textId="6E1917C5" w:rsidR="008D0B2D" w:rsidRPr="00A02C2E" w:rsidRDefault="00F6441E" w:rsidP="00A02C2E">
      <w:pPr>
        <w:pStyle w:val="01TESTO"/>
        <w:shd w:val="clear" w:color="auto" w:fill="FFFFFF" w:themeFill="background1"/>
        <w:jc w:val="both"/>
        <w:rPr>
          <w:i/>
          <w:lang w:val="en-GB"/>
        </w:rPr>
      </w:pPr>
      <w:r w:rsidRPr="00A02C2E">
        <w:rPr>
          <w:i/>
          <w:lang w:val="en-GB"/>
        </w:rPr>
        <w:t>G</w:t>
      </w:r>
      <w:r w:rsidR="008D0B2D" w:rsidRPr="00A02C2E">
        <w:rPr>
          <w:i/>
          <w:lang w:val="en-GB"/>
        </w:rPr>
        <w:t xml:space="preserve">reater fuel efficiency, precision </w:t>
      </w:r>
      <w:r w:rsidRPr="00A02C2E">
        <w:rPr>
          <w:i/>
          <w:lang w:val="en-GB"/>
        </w:rPr>
        <w:t>manoeuvrability</w:t>
      </w:r>
      <w:r w:rsidR="008D0B2D" w:rsidRPr="00A02C2E">
        <w:rPr>
          <w:i/>
          <w:lang w:val="en-GB"/>
        </w:rPr>
        <w:t xml:space="preserve"> and increased bucket d</w:t>
      </w:r>
      <w:r w:rsidRPr="00A02C2E">
        <w:rPr>
          <w:i/>
          <w:lang w:val="en-GB"/>
        </w:rPr>
        <w:t>igging force and lift capacity with the new CASE CX245D SR excavator</w:t>
      </w:r>
      <w:r w:rsidR="00A02C2E" w:rsidRPr="00A02C2E">
        <w:rPr>
          <w:i/>
          <w:lang w:val="en-GB"/>
        </w:rPr>
        <w:t>.</w:t>
      </w:r>
    </w:p>
    <w:p w14:paraId="76094758" w14:textId="77777777" w:rsidR="008D0B2D" w:rsidRDefault="008D0B2D" w:rsidP="00C77D34">
      <w:pPr>
        <w:jc w:val="both"/>
        <w:rPr>
          <w:b/>
          <w:sz w:val="22"/>
          <w:szCs w:val="22"/>
          <w:lang w:val="en-GB"/>
        </w:rPr>
      </w:pPr>
    </w:p>
    <w:p w14:paraId="1AA00362" w14:textId="77777777" w:rsidR="0059519E" w:rsidRPr="008D0B2D" w:rsidRDefault="0059519E" w:rsidP="00C77D34">
      <w:pPr>
        <w:jc w:val="both"/>
        <w:rPr>
          <w:b/>
          <w:sz w:val="22"/>
          <w:szCs w:val="22"/>
          <w:lang w:val="en-GB"/>
        </w:rPr>
      </w:pPr>
    </w:p>
    <w:p w14:paraId="7826A605" w14:textId="469274C3" w:rsidR="008D0B2D" w:rsidRPr="008D0B2D" w:rsidRDefault="008D0B2D" w:rsidP="00C77D34">
      <w:pPr>
        <w:pStyle w:val="01TESTO"/>
        <w:shd w:val="clear" w:color="auto" w:fill="FFFFFF" w:themeFill="background1"/>
        <w:jc w:val="both"/>
        <w:rPr>
          <w:lang w:val="en-GB"/>
        </w:rPr>
      </w:pPr>
      <w:r w:rsidRPr="008D0B2D">
        <w:rPr>
          <w:lang w:val="en-GB"/>
        </w:rPr>
        <w:t>Turin, 2</w:t>
      </w:r>
      <w:r w:rsidR="00FF044C">
        <w:rPr>
          <w:lang w:val="en-GB"/>
        </w:rPr>
        <w:t>8</w:t>
      </w:r>
      <w:r w:rsidRPr="008D0B2D">
        <w:rPr>
          <w:lang w:val="en-GB"/>
        </w:rPr>
        <w:t xml:space="preserve"> April 2017</w:t>
      </w:r>
    </w:p>
    <w:p w14:paraId="549BCD7A" w14:textId="77777777" w:rsidR="008D0B2D" w:rsidRPr="008D0B2D" w:rsidRDefault="008D0B2D" w:rsidP="00C77D34">
      <w:pPr>
        <w:jc w:val="both"/>
        <w:rPr>
          <w:b/>
          <w:sz w:val="22"/>
          <w:szCs w:val="22"/>
          <w:lang w:val="en-GB"/>
        </w:rPr>
      </w:pPr>
    </w:p>
    <w:p w14:paraId="53F15856" w14:textId="50FF687D" w:rsidR="008D0B2D" w:rsidRDefault="008D0B2D" w:rsidP="00C77D34">
      <w:pPr>
        <w:pStyle w:val="01TESTO"/>
        <w:shd w:val="clear" w:color="auto" w:fill="FFFFFF" w:themeFill="background1"/>
        <w:jc w:val="both"/>
        <w:rPr>
          <w:lang w:val="en-GB"/>
        </w:rPr>
      </w:pPr>
      <w:r w:rsidRPr="008D0B2D">
        <w:rPr>
          <w:lang w:val="en-GB"/>
        </w:rPr>
        <w:t xml:space="preserve">CASE Construction Equipment has introduced the all-new CX245D SR minimum-swing radius excavator to its D Series </w:t>
      </w:r>
      <w:r w:rsidR="009420C7" w:rsidRPr="008D0B2D">
        <w:rPr>
          <w:lang w:val="en-GB"/>
        </w:rPr>
        <w:t>line-up</w:t>
      </w:r>
      <w:r w:rsidRPr="008D0B2D">
        <w:rPr>
          <w:lang w:val="en-GB"/>
        </w:rPr>
        <w:t xml:space="preserve">. Designed to provide increased digging and lifting power in confined work areas, the CX245D SR features a compact counterweight and modified boom placement that minimizes the machine’s footprint, resulting in a highly productive and </w:t>
      </w:r>
      <w:r w:rsidR="00F6441E" w:rsidRPr="008D0B2D">
        <w:rPr>
          <w:lang w:val="en-GB"/>
        </w:rPr>
        <w:t>manoeuvrable</w:t>
      </w:r>
      <w:r w:rsidRPr="008D0B2D">
        <w:rPr>
          <w:lang w:val="en-GB"/>
        </w:rPr>
        <w:t xml:space="preserve"> excavator that’s ideal for restricted conditions, such as road and bridge work, residential projects and urban construction.</w:t>
      </w:r>
    </w:p>
    <w:p w14:paraId="2D3C8F7C" w14:textId="77777777" w:rsidR="0059519E" w:rsidRPr="008D0B2D" w:rsidRDefault="0059519E" w:rsidP="00C77D34">
      <w:pPr>
        <w:pStyle w:val="01TESTO"/>
        <w:shd w:val="clear" w:color="auto" w:fill="FFFFFF" w:themeFill="background1"/>
        <w:jc w:val="both"/>
        <w:rPr>
          <w:lang w:val="en-GB"/>
        </w:rPr>
      </w:pPr>
    </w:p>
    <w:p w14:paraId="6CD6B288" w14:textId="71586364" w:rsidR="008D0B2D" w:rsidRPr="008D0B2D" w:rsidRDefault="008D0B2D" w:rsidP="00C77D34">
      <w:pPr>
        <w:pStyle w:val="01TESTO"/>
        <w:shd w:val="clear" w:color="auto" w:fill="FFFFFF" w:themeFill="background1"/>
        <w:jc w:val="both"/>
        <w:rPr>
          <w:lang w:val="en-GB"/>
        </w:rPr>
      </w:pPr>
      <w:r w:rsidRPr="008D0B2D">
        <w:rPr>
          <w:lang w:val="en-GB"/>
        </w:rPr>
        <w:t>With an operating weight of 26 tons and a 160 HP Tier 4 Final/Stage IV engine</w:t>
      </w:r>
      <w:r w:rsidR="00F6441E">
        <w:rPr>
          <w:lang w:val="en-GB"/>
        </w:rPr>
        <w:t>, the CX245D SR offers more</w:t>
      </w:r>
      <w:r w:rsidRPr="008D0B2D">
        <w:rPr>
          <w:lang w:val="en-GB"/>
        </w:rPr>
        <w:t xml:space="preserve"> bucket digging forces and lift capacity compared to the previous model. </w:t>
      </w:r>
    </w:p>
    <w:p w14:paraId="038BFCB4" w14:textId="77777777" w:rsidR="008D0B2D" w:rsidRPr="008D0B2D" w:rsidRDefault="008D0B2D" w:rsidP="00C77D34">
      <w:pPr>
        <w:pStyle w:val="01TESTO"/>
        <w:shd w:val="clear" w:color="auto" w:fill="FFFFFF" w:themeFill="background1"/>
        <w:jc w:val="both"/>
        <w:rPr>
          <w:lang w:val="en-GB"/>
        </w:rPr>
      </w:pPr>
      <w:r w:rsidRPr="008D0B2D">
        <w:rPr>
          <w:lang w:val="en-GB"/>
        </w:rPr>
        <w:t>Each D Series model is built to provide significant operational gains, including decreased cycle times, improved responsiveness and multifunctional controls, and greater fuel efficiency. An electronically controlled hydraulic pump and larger control and solenoid valves increase lifting capacities and improve responsiveness.</w:t>
      </w:r>
    </w:p>
    <w:p w14:paraId="07594B69" w14:textId="77777777" w:rsidR="0059519E" w:rsidRDefault="0059519E" w:rsidP="00C77D34">
      <w:pPr>
        <w:pStyle w:val="01TESTO"/>
        <w:shd w:val="clear" w:color="auto" w:fill="FFFFFF" w:themeFill="background1"/>
        <w:jc w:val="both"/>
        <w:rPr>
          <w:lang w:val="en-GB"/>
        </w:rPr>
      </w:pPr>
    </w:p>
    <w:p w14:paraId="2C6A2B15" w14:textId="1A769806" w:rsidR="008D0B2D" w:rsidRDefault="008D0B2D" w:rsidP="00C77D34">
      <w:pPr>
        <w:pStyle w:val="01TESTO"/>
        <w:shd w:val="clear" w:color="auto" w:fill="FFFFFF" w:themeFill="background1"/>
        <w:jc w:val="both"/>
        <w:rPr>
          <w:lang w:val="en-GB"/>
        </w:rPr>
      </w:pPr>
      <w:r w:rsidRPr="008D0B2D">
        <w:rPr>
          <w:lang w:val="en-GB"/>
        </w:rPr>
        <w:t xml:space="preserve">D Series models offer more standard features than previous CASE excavators, simplifying the buying process and making them extremely versatile and operator friendly. </w:t>
      </w:r>
    </w:p>
    <w:p w14:paraId="6565ACCB" w14:textId="77777777" w:rsidR="008D0B2D" w:rsidRPr="008D0B2D" w:rsidRDefault="008D0B2D" w:rsidP="00C77D34">
      <w:pPr>
        <w:pStyle w:val="01TESTO"/>
        <w:shd w:val="clear" w:color="auto" w:fill="FFFFFF" w:themeFill="background1"/>
        <w:jc w:val="both"/>
        <w:rPr>
          <w:lang w:val="en-GB"/>
        </w:rPr>
      </w:pPr>
    </w:p>
    <w:p w14:paraId="7A7420DB" w14:textId="77777777" w:rsidR="008D0B2D" w:rsidRDefault="008D0B2D" w:rsidP="00C77D34">
      <w:pPr>
        <w:pStyle w:val="01TESTO"/>
        <w:shd w:val="clear" w:color="auto" w:fill="FFFFFF" w:themeFill="background1"/>
        <w:jc w:val="both"/>
        <w:rPr>
          <w:b/>
          <w:lang w:val="en-GB"/>
        </w:rPr>
      </w:pPr>
      <w:r w:rsidRPr="008D0B2D">
        <w:rPr>
          <w:b/>
          <w:lang w:val="en-GB"/>
        </w:rPr>
        <w:t>Maintenance-free Tier 4 final/ Stage IV Solution</w:t>
      </w:r>
    </w:p>
    <w:p w14:paraId="0003861F" w14:textId="541D6BFE" w:rsidR="008D0B2D" w:rsidRPr="008D0B2D" w:rsidRDefault="008D0B2D" w:rsidP="00C77D34">
      <w:pPr>
        <w:pStyle w:val="01TESTO"/>
        <w:shd w:val="clear" w:color="auto" w:fill="FFFFFF" w:themeFill="background1"/>
        <w:jc w:val="both"/>
        <w:rPr>
          <w:lang w:val="en-GB"/>
        </w:rPr>
      </w:pPr>
      <w:r w:rsidRPr="008D0B2D">
        <w:rPr>
          <w:lang w:val="en-GB"/>
        </w:rPr>
        <w:t xml:space="preserve">The CASE CX245D SR excavator meets Tier 4 Final/Stage IV emissions standards through an innovative combination of selective catalytic reduction (SCR) and diesel oxidation catalyst (DOC) technologies, which helps maximize uptime and performance – all with minimal maintenance. There is no diesel particulate filter (DPF), no DPF regeneration or associated lifetime service costs. </w:t>
      </w:r>
    </w:p>
    <w:p w14:paraId="223CFD4C" w14:textId="327A95D1" w:rsidR="008D0B2D" w:rsidRPr="008D0B2D" w:rsidRDefault="008D0B2D" w:rsidP="00C77D34">
      <w:pPr>
        <w:pStyle w:val="01TESTO"/>
        <w:shd w:val="clear" w:color="auto" w:fill="FFFFFF" w:themeFill="background1"/>
        <w:jc w:val="both"/>
        <w:rPr>
          <w:lang w:val="en-GB"/>
        </w:rPr>
      </w:pPr>
      <w:r w:rsidRPr="008D0B2D">
        <w:rPr>
          <w:lang w:val="en-GB"/>
        </w:rPr>
        <w:t>The system is also very economical in its use of AdBlue, which is just 2.5%</w:t>
      </w:r>
      <w:r w:rsidR="00AB749A">
        <w:rPr>
          <w:lang w:val="en-GB"/>
        </w:rPr>
        <w:t xml:space="preserve"> </w:t>
      </w:r>
      <w:r w:rsidRPr="008D0B2D">
        <w:rPr>
          <w:lang w:val="en-GB"/>
        </w:rPr>
        <w:t>- 3% of fuel consumption. The large AdBlue tank only needs to be refilled every 5 fuel refills, so that no time is wasted.</w:t>
      </w:r>
    </w:p>
    <w:p w14:paraId="25F89F81" w14:textId="77777777" w:rsidR="008D0B2D" w:rsidRDefault="008D0B2D" w:rsidP="00C77D34">
      <w:pPr>
        <w:autoSpaceDE w:val="0"/>
        <w:autoSpaceDN w:val="0"/>
        <w:jc w:val="both"/>
        <w:rPr>
          <w:rFonts w:ascii="Roboto" w:hAnsi="Roboto"/>
          <w:sz w:val="24"/>
          <w:szCs w:val="24"/>
          <w:lang w:val="en"/>
        </w:rPr>
      </w:pPr>
    </w:p>
    <w:p w14:paraId="51049D42" w14:textId="77777777" w:rsidR="008D0B2D" w:rsidRPr="008D0B2D" w:rsidRDefault="008D0B2D" w:rsidP="00C77D34">
      <w:pPr>
        <w:pStyle w:val="01TESTO"/>
        <w:shd w:val="clear" w:color="auto" w:fill="FFFFFF" w:themeFill="background1"/>
        <w:jc w:val="both"/>
        <w:rPr>
          <w:b/>
          <w:lang w:val="en-GB"/>
        </w:rPr>
      </w:pPr>
      <w:r w:rsidRPr="008D0B2D">
        <w:rPr>
          <w:b/>
          <w:lang w:val="en-GB"/>
        </w:rPr>
        <w:t xml:space="preserve">Intelligent Speed, Power and Efficiency </w:t>
      </w:r>
    </w:p>
    <w:p w14:paraId="6E9835FA" w14:textId="677F12E3" w:rsidR="005B0E4C" w:rsidRDefault="008D0B2D" w:rsidP="00C77D34">
      <w:pPr>
        <w:pStyle w:val="01TESTO"/>
        <w:shd w:val="clear" w:color="auto" w:fill="FFFFFF" w:themeFill="background1"/>
        <w:jc w:val="both"/>
        <w:rPr>
          <w:lang w:val="en-GB"/>
        </w:rPr>
      </w:pPr>
      <w:r w:rsidRPr="008D0B2D">
        <w:rPr>
          <w:lang w:val="en-GB"/>
        </w:rPr>
        <w:t xml:space="preserve">Faster cycle times are achieved through a new electronically controlled pump, a larger control valve and multiple sensors. These features combine with the CASE Intelligent Hydraulic System and the CASE advanced energy management with its five integrated control systems to make the best use of </w:t>
      </w:r>
      <w:r w:rsidRPr="008D0B2D">
        <w:rPr>
          <w:lang w:val="en-GB"/>
        </w:rPr>
        <w:lastRenderedPageBreak/>
        <w:t>the machine’s hydraulic power and momentum, resulting in added strength, maximum</w:t>
      </w:r>
      <w:r w:rsidR="00F6441E">
        <w:rPr>
          <w:lang w:val="en-GB"/>
        </w:rPr>
        <w:t xml:space="preserve"> power</w:t>
      </w:r>
      <w:r w:rsidRPr="008D0B2D">
        <w:rPr>
          <w:lang w:val="en-GB"/>
        </w:rPr>
        <w:t xml:space="preserve"> and fuel efficiency.</w:t>
      </w:r>
    </w:p>
    <w:p w14:paraId="37134FDF" w14:textId="45F1F6DC" w:rsidR="008D0B2D" w:rsidRPr="008D0B2D" w:rsidRDefault="008D0B2D" w:rsidP="00C77D34">
      <w:pPr>
        <w:pStyle w:val="01TESTO"/>
        <w:shd w:val="clear" w:color="auto" w:fill="FFFFFF" w:themeFill="background1"/>
        <w:jc w:val="both"/>
        <w:rPr>
          <w:lang w:val="en-GB"/>
        </w:rPr>
      </w:pPr>
      <w:r w:rsidRPr="008D0B2D">
        <w:rPr>
          <w:lang w:val="en-GB"/>
        </w:rPr>
        <w:t xml:space="preserve">The five systems that make up the CASE Intelligent Hydraulic System are: </w:t>
      </w:r>
    </w:p>
    <w:p w14:paraId="7AEBE3E1" w14:textId="77777777" w:rsidR="008D0B2D" w:rsidRPr="008D0B2D" w:rsidRDefault="008D0B2D" w:rsidP="00C77D34">
      <w:pPr>
        <w:pStyle w:val="01TESTO"/>
        <w:numPr>
          <w:ilvl w:val="0"/>
          <w:numId w:val="5"/>
        </w:numPr>
        <w:shd w:val="clear" w:color="auto" w:fill="FFFFFF" w:themeFill="background1"/>
        <w:jc w:val="both"/>
        <w:rPr>
          <w:lang w:val="en-GB"/>
        </w:rPr>
      </w:pPr>
      <w:r w:rsidRPr="008D0B2D">
        <w:rPr>
          <w:lang w:val="en-GB"/>
        </w:rPr>
        <w:t>Idle functions: the Auto Idle function lowers engine rpm after 5 seconds of lever inactivity whatever the throttle position, while the Idle Shutdown function shuts the engine down after a pre-</w:t>
      </w:r>
      <w:proofErr w:type="spellStart"/>
      <w:r w:rsidRPr="008D0B2D">
        <w:rPr>
          <w:lang w:val="en-GB"/>
        </w:rPr>
        <w:t>setted</w:t>
      </w:r>
      <w:proofErr w:type="spellEnd"/>
      <w:r w:rsidRPr="008D0B2D">
        <w:rPr>
          <w:lang w:val="en-GB"/>
        </w:rPr>
        <w:t xml:space="preserve"> time. </w:t>
      </w:r>
    </w:p>
    <w:p w14:paraId="46922A5F" w14:textId="1436EC69" w:rsidR="008D0B2D" w:rsidRPr="008D0B2D" w:rsidRDefault="008D0B2D" w:rsidP="00C77D34">
      <w:pPr>
        <w:pStyle w:val="01TESTO"/>
        <w:numPr>
          <w:ilvl w:val="0"/>
          <w:numId w:val="5"/>
        </w:numPr>
        <w:shd w:val="clear" w:color="auto" w:fill="FFFFFF" w:themeFill="background1"/>
        <w:jc w:val="both"/>
        <w:rPr>
          <w:lang w:val="en-GB"/>
        </w:rPr>
      </w:pPr>
      <w:r w:rsidRPr="008D0B2D">
        <w:rPr>
          <w:lang w:val="en-GB"/>
        </w:rPr>
        <w:t>Torque control decreases main pump loads to prevent a drop in engine rpm</w:t>
      </w:r>
      <w:r w:rsidR="005B0E4C">
        <w:rPr>
          <w:lang w:val="en-GB"/>
        </w:rPr>
        <w:t>.</w:t>
      </w:r>
    </w:p>
    <w:p w14:paraId="475E3EA4" w14:textId="1A1843AD" w:rsidR="005B0E4C" w:rsidRDefault="008D0B2D" w:rsidP="00C77D34">
      <w:pPr>
        <w:pStyle w:val="01TESTO"/>
        <w:numPr>
          <w:ilvl w:val="0"/>
          <w:numId w:val="5"/>
        </w:numPr>
        <w:shd w:val="clear" w:color="auto" w:fill="FFFFFF" w:themeFill="background1"/>
        <w:jc w:val="both"/>
        <w:rPr>
          <w:lang w:val="en-GB"/>
        </w:rPr>
      </w:pPr>
      <w:r w:rsidRPr="008D0B2D">
        <w:rPr>
          <w:lang w:val="en-GB"/>
        </w:rPr>
        <w:t>Boom Economy Control (BEC), which reduces RPMs by using grav</w:t>
      </w:r>
      <w:r w:rsidR="005B0E4C">
        <w:rPr>
          <w:lang w:val="en-GB"/>
        </w:rPr>
        <w:t>ity during boom down and swing.</w:t>
      </w:r>
    </w:p>
    <w:p w14:paraId="6665BBE2" w14:textId="0EC613B8" w:rsidR="005B0E4C" w:rsidRDefault="008D0B2D" w:rsidP="00C77D34">
      <w:pPr>
        <w:pStyle w:val="01TESTO"/>
        <w:numPr>
          <w:ilvl w:val="0"/>
          <w:numId w:val="5"/>
        </w:numPr>
        <w:shd w:val="clear" w:color="auto" w:fill="FFFFFF" w:themeFill="background1"/>
        <w:jc w:val="both"/>
        <w:rPr>
          <w:lang w:val="en-GB"/>
        </w:rPr>
      </w:pPr>
      <w:r w:rsidRPr="008D0B2D">
        <w:rPr>
          <w:lang w:val="en-GB"/>
        </w:rPr>
        <w:t>Swing Relief Control (SWC), reduces hydraulic power at the swing start</w:t>
      </w:r>
      <w:r w:rsidR="005B0E4C">
        <w:rPr>
          <w:lang w:val="en-GB"/>
        </w:rPr>
        <w:t>.</w:t>
      </w:r>
    </w:p>
    <w:p w14:paraId="1F2851F1" w14:textId="5FEF41C6" w:rsidR="008D0B2D" w:rsidRPr="008D0B2D" w:rsidRDefault="008D0B2D" w:rsidP="00C77D34">
      <w:pPr>
        <w:pStyle w:val="01TESTO"/>
        <w:numPr>
          <w:ilvl w:val="0"/>
          <w:numId w:val="5"/>
        </w:numPr>
        <w:shd w:val="clear" w:color="auto" w:fill="FFFFFF" w:themeFill="background1"/>
        <w:jc w:val="both"/>
        <w:rPr>
          <w:lang w:val="en-GB"/>
        </w:rPr>
      </w:pPr>
      <w:r w:rsidRPr="008D0B2D">
        <w:rPr>
          <w:lang w:val="en-GB"/>
        </w:rPr>
        <w:t>Spool Stroke Control (SSC), adjusts hydraulic pressure during digs.</w:t>
      </w:r>
    </w:p>
    <w:p w14:paraId="68DC46F1" w14:textId="77777777" w:rsidR="008D0B2D" w:rsidRPr="008D0B2D" w:rsidRDefault="008D0B2D" w:rsidP="00C77D34">
      <w:pPr>
        <w:pStyle w:val="01TESTO"/>
        <w:numPr>
          <w:ilvl w:val="0"/>
          <w:numId w:val="5"/>
        </w:numPr>
        <w:shd w:val="clear" w:color="auto" w:fill="FFFFFF" w:themeFill="background1"/>
        <w:jc w:val="both"/>
        <w:rPr>
          <w:lang w:val="en-GB"/>
        </w:rPr>
      </w:pPr>
      <w:r w:rsidRPr="008D0B2D">
        <w:rPr>
          <w:lang w:val="en-GB"/>
        </w:rPr>
        <w:t xml:space="preserve">Using improvements to the Spool Stroke Control system, the CX245D SR excavator re-uses hydraulic fluid whenever possible to automatically increase cycle times and efficiency. The operator experiences a more productive machine without losing the precision of the machine’s controls. </w:t>
      </w:r>
    </w:p>
    <w:p w14:paraId="00E628A9" w14:textId="77777777" w:rsidR="008D0B2D" w:rsidRDefault="008D0B2D" w:rsidP="00C77D34">
      <w:pPr>
        <w:pStyle w:val="01TESTO"/>
        <w:shd w:val="clear" w:color="auto" w:fill="FFFFFF" w:themeFill="background1"/>
        <w:jc w:val="both"/>
        <w:rPr>
          <w:b/>
          <w:lang w:val="en-GB"/>
        </w:rPr>
      </w:pPr>
    </w:p>
    <w:p w14:paraId="42A862F4" w14:textId="77777777" w:rsidR="008D0B2D" w:rsidRDefault="008D0B2D" w:rsidP="00C77D34">
      <w:pPr>
        <w:pStyle w:val="01TESTO"/>
        <w:shd w:val="clear" w:color="auto" w:fill="FFFFFF" w:themeFill="background1"/>
        <w:jc w:val="both"/>
        <w:rPr>
          <w:b/>
          <w:lang w:val="en-GB"/>
        </w:rPr>
      </w:pPr>
      <w:r w:rsidRPr="008D0B2D">
        <w:rPr>
          <w:b/>
          <w:lang w:val="en-GB"/>
        </w:rPr>
        <w:t>Greater Features Offering</w:t>
      </w:r>
    </w:p>
    <w:p w14:paraId="482ACD5F" w14:textId="5336A78D" w:rsidR="009A3617" w:rsidRPr="00C77D34" w:rsidRDefault="008D0B2D" w:rsidP="00C77D34">
      <w:pPr>
        <w:pStyle w:val="01TESTO"/>
        <w:shd w:val="clear" w:color="auto" w:fill="FFFFFF" w:themeFill="background1"/>
        <w:jc w:val="both"/>
        <w:rPr>
          <w:lang w:val="en-GB"/>
        </w:rPr>
      </w:pPr>
      <w:r w:rsidRPr="008D0B2D">
        <w:rPr>
          <w:lang w:val="en-GB"/>
        </w:rPr>
        <w:t>CASE D Series excavators now offer more features than any p</w:t>
      </w:r>
      <w:r w:rsidR="009A3617">
        <w:rPr>
          <w:lang w:val="en-GB"/>
        </w:rPr>
        <w:t xml:space="preserve">revious CASE crawler excavator, </w:t>
      </w:r>
      <w:r w:rsidR="009A3617" w:rsidRPr="00C77D34">
        <w:rPr>
          <w:lang w:val="en-GB"/>
        </w:rPr>
        <w:t>like</w:t>
      </w:r>
      <w:r w:rsidR="009A3617">
        <w:rPr>
          <w:b/>
          <w:color w:val="FF0000"/>
          <w:lang w:val="en-GB"/>
        </w:rPr>
        <w:t xml:space="preserve"> </w:t>
      </w:r>
      <w:r w:rsidR="001B1B53">
        <w:rPr>
          <w:lang w:val="en-GB"/>
        </w:rPr>
        <w:t>the optional travel alarm and</w:t>
      </w:r>
      <w:r w:rsidR="009A3617" w:rsidRPr="00C77D34">
        <w:rPr>
          <w:lang w:val="en-GB"/>
        </w:rPr>
        <w:t xml:space="preserve"> the </w:t>
      </w:r>
      <w:r w:rsidRPr="00C77D34">
        <w:rPr>
          <w:lang w:val="en-GB"/>
        </w:rPr>
        <w:t>oil sample ports for quick sampling of engine and hydraulic oils</w:t>
      </w:r>
      <w:r w:rsidR="00242800">
        <w:rPr>
          <w:lang w:val="en-GB"/>
        </w:rPr>
        <w:t>.</w:t>
      </w:r>
    </w:p>
    <w:p w14:paraId="0313D65A" w14:textId="77777777" w:rsidR="009A3617" w:rsidRDefault="009A3617" w:rsidP="00C77D34">
      <w:pPr>
        <w:pStyle w:val="01TESTO"/>
        <w:shd w:val="clear" w:color="auto" w:fill="FFFFFF" w:themeFill="background1"/>
        <w:jc w:val="both"/>
        <w:rPr>
          <w:lang w:val="en-GB"/>
        </w:rPr>
      </w:pPr>
    </w:p>
    <w:p w14:paraId="659A74D3" w14:textId="4299F861" w:rsidR="008D0B2D" w:rsidRPr="008D0B2D" w:rsidRDefault="008D0B2D" w:rsidP="00C77D34">
      <w:pPr>
        <w:pStyle w:val="01TESTO"/>
        <w:shd w:val="clear" w:color="auto" w:fill="FFFFFF" w:themeFill="background1"/>
        <w:jc w:val="both"/>
        <w:rPr>
          <w:lang w:val="en-GB"/>
        </w:rPr>
      </w:pPr>
      <w:r w:rsidRPr="008D0B2D">
        <w:rPr>
          <w:lang w:val="en-GB"/>
        </w:rPr>
        <w:t xml:space="preserve">Each D Series machine </w:t>
      </w:r>
      <w:r w:rsidR="00242800">
        <w:rPr>
          <w:lang w:val="en-GB"/>
        </w:rPr>
        <w:t>is equipped with</w:t>
      </w:r>
      <w:r w:rsidRPr="008D0B2D">
        <w:rPr>
          <w:lang w:val="en-GB"/>
        </w:rPr>
        <w:t xml:space="preserve"> a fully adjustable operator station anchored by a standard heated air-ride seat and joystick controls that allow for smooth performance. </w:t>
      </w:r>
    </w:p>
    <w:p w14:paraId="07AEB9F0" w14:textId="77777777" w:rsidR="0059519E" w:rsidRDefault="0059519E" w:rsidP="00C77D34">
      <w:pPr>
        <w:pStyle w:val="01TESTO"/>
        <w:shd w:val="clear" w:color="auto" w:fill="FFFFFF" w:themeFill="background1"/>
        <w:jc w:val="both"/>
        <w:rPr>
          <w:lang w:val="en-GB"/>
        </w:rPr>
      </w:pPr>
    </w:p>
    <w:p w14:paraId="7180A45B" w14:textId="6B6DABA9" w:rsidR="008D0B2D" w:rsidRDefault="008D0B2D" w:rsidP="00C77D34">
      <w:pPr>
        <w:pStyle w:val="01TESTO"/>
        <w:shd w:val="clear" w:color="auto" w:fill="FFFFFF" w:themeFill="background1"/>
        <w:jc w:val="both"/>
        <w:rPr>
          <w:lang w:val="en-GB"/>
        </w:rPr>
      </w:pPr>
      <w:r w:rsidRPr="008D0B2D">
        <w:rPr>
          <w:lang w:val="en-GB"/>
        </w:rPr>
        <w:t xml:space="preserve">The CX245D SR also </w:t>
      </w:r>
      <w:r w:rsidR="00242800">
        <w:rPr>
          <w:lang w:val="en-GB"/>
        </w:rPr>
        <w:t>has</w:t>
      </w:r>
      <w:r w:rsidRPr="008D0B2D">
        <w:rPr>
          <w:lang w:val="en-GB"/>
        </w:rPr>
        <w:t xml:space="preserve"> best-in-class cab space, excellent visibility, and a pressurized and </w:t>
      </w:r>
      <w:proofErr w:type="spellStart"/>
      <w:r w:rsidRPr="008D0B2D">
        <w:rPr>
          <w:lang w:val="en-GB"/>
        </w:rPr>
        <w:t>iso</w:t>
      </w:r>
      <w:proofErr w:type="spellEnd"/>
      <w:r w:rsidRPr="008D0B2D">
        <w:rPr>
          <w:lang w:val="en-GB"/>
        </w:rPr>
        <w:t>-mounted cab that keeps noise and vibration down. A standard Bluetooth radio gives operators hands-free functionality that further improves the operator experience. A standard rear</w:t>
      </w:r>
      <w:r w:rsidR="00242800">
        <w:rPr>
          <w:lang w:val="en-GB"/>
        </w:rPr>
        <w:t xml:space="preserve"> </w:t>
      </w:r>
      <w:r w:rsidRPr="008D0B2D">
        <w:rPr>
          <w:lang w:val="en-GB"/>
        </w:rPr>
        <w:t>view camera feeds a 7-inch widescreen monitor that also provides operators with real-time access to important performance parameters, including fuel consumption, operating hours and machine inform</w:t>
      </w:r>
      <w:r w:rsidR="005B0E4C">
        <w:rPr>
          <w:lang w:val="en-GB"/>
        </w:rPr>
        <w:t>ation. The excellent visibility</w:t>
      </w:r>
      <w:r w:rsidR="001B1B53">
        <w:rPr>
          <w:lang w:val="en-GB"/>
        </w:rPr>
        <w:t xml:space="preserve"> of the c</w:t>
      </w:r>
      <w:bookmarkStart w:id="0" w:name="_GoBack"/>
      <w:bookmarkEnd w:id="0"/>
      <w:r w:rsidRPr="008D0B2D">
        <w:rPr>
          <w:lang w:val="en-GB"/>
        </w:rPr>
        <w:t xml:space="preserve">ab is further </w:t>
      </w:r>
      <w:r w:rsidR="00513464">
        <w:rPr>
          <w:lang w:val="en-GB"/>
        </w:rPr>
        <w:t>aided</w:t>
      </w:r>
      <w:r w:rsidR="00AB749A">
        <w:rPr>
          <w:lang w:val="en-GB"/>
        </w:rPr>
        <w:t xml:space="preserve"> </w:t>
      </w:r>
      <w:r w:rsidRPr="008D0B2D">
        <w:rPr>
          <w:lang w:val="en-GB"/>
        </w:rPr>
        <w:t>by the standard</w:t>
      </w:r>
      <w:r w:rsidR="00AB749A">
        <w:rPr>
          <w:lang w:val="en-GB"/>
        </w:rPr>
        <w:t xml:space="preserve"> rear and side view cameras </w:t>
      </w:r>
      <w:r w:rsidR="00242800">
        <w:rPr>
          <w:lang w:val="en-GB"/>
        </w:rPr>
        <w:t>and</w:t>
      </w:r>
      <w:r w:rsidR="00AB749A">
        <w:rPr>
          <w:lang w:val="en-GB"/>
        </w:rPr>
        <w:t xml:space="preserve"> </w:t>
      </w:r>
      <w:r w:rsidRPr="008D0B2D">
        <w:rPr>
          <w:lang w:val="en-GB"/>
        </w:rPr>
        <w:t>by the optional CASE maximum view monitor, an innovative 3 camera system.</w:t>
      </w:r>
    </w:p>
    <w:p w14:paraId="605BB2C7" w14:textId="77777777" w:rsidR="005B0E4C" w:rsidRDefault="005B0E4C" w:rsidP="00C77D34">
      <w:pPr>
        <w:jc w:val="both"/>
        <w:rPr>
          <w:b/>
          <w:lang w:val="en-GB"/>
        </w:rPr>
      </w:pPr>
    </w:p>
    <w:p w14:paraId="162566EB" w14:textId="77777777" w:rsidR="008D0B2D" w:rsidRDefault="008D0B2D" w:rsidP="00C77D34">
      <w:pPr>
        <w:jc w:val="both"/>
        <w:rPr>
          <w:b/>
          <w:lang w:val="en-GB"/>
        </w:rPr>
      </w:pPr>
      <w:r w:rsidRPr="008D0B2D">
        <w:rPr>
          <w:b/>
          <w:lang w:val="en-GB"/>
        </w:rPr>
        <w:t xml:space="preserve">Light it </w:t>
      </w:r>
      <w:proofErr w:type="gramStart"/>
      <w:r w:rsidRPr="008D0B2D">
        <w:rPr>
          <w:b/>
          <w:lang w:val="en-GB"/>
        </w:rPr>
        <w:t>Up</w:t>
      </w:r>
      <w:proofErr w:type="gramEnd"/>
    </w:p>
    <w:p w14:paraId="6F2E31DD" w14:textId="33EA0C84" w:rsidR="008D0B2D" w:rsidRDefault="008D0B2D" w:rsidP="00C77D34">
      <w:pPr>
        <w:jc w:val="both"/>
        <w:rPr>
          <w:lang w:val="en-GB"/>
        </w:rPr>
      </w:pPr>
      <w:r w:rsidRPr="008D0B2D">
        <w:rPr>
          <w:lang w:val="en-GB"/>
        </w:rPr>
        <w:t xml:space="preserve">Each machine is available with a new (optional) LED working light package that provides illumination similar to sunlight – and more than three-times brighter than halogen – allowing contractors to work around the clock. The LED package includes eight LED lights (3 </w:t>
      </w:r>
      <w:proofErr w:type="gramStart"/>
      <w:r w:rsidRPr="008D0B2D">
        <w:rPr>
          <w:lang w:val="en-GB"/>
        </w:rPr>
        <w:t>front</w:t>
      </w:r>
      <w:proofErr w:type="gramEnd"/>
      <w:r w:rsidRPr="008D0B2D">
        <w:rPr>
          <w:lang w:val="en-GB"/>
        </w:rPr>
        <w:t>, 1 on the arm, two rear and one on each side).</w:t>
      </w:r>
    </w:p>
    <w:p w14:paraId="02E6B7A9" w14:textId="77777777" w:rsidR="009420C7" w:rsidRPr="008D0B2D" w:rsidRDefault="009420C7" w:rsidP="00C77D34">
      <w:pPr>
        <w:jc w:val="both"/>
        <w:rPr>
          <w:lang w:val="en-GB"/>
        </w:rPr>
      </w:pPr>
    </w:p>
    <w:p w14:paraId="01A118CA" w14:textId="6D284DB6" w:rsidR="00295AAD" w:rsidRDefault="00295AAD" w:rsidP="009420C7">
      <w:pPr>
        <w:rPr>
          <w:b/>
        </w:rPr>
      </w:pPr>
      <w:r>
        <w:rPr>
          <w:b/>
        </w:rPr>
        <w:lastRenderedPageBreak/>
        <w:t>New CX245D SR</w:t>
      </w:r>
    </w:p>
    <w:tbl>
      <w:tblPr>
        <w:tblW w:w="4814" w:type="pct"/>
        <w:jc w:val="center"/>
        <w:tblLook w:val="04A0" w:firstRow="1" w:lastRow="0" w:firstColumn="1" w:lastColumn="0" w:noHBand="0" w:noVBand="1"/>
      </w:tblPr>
      <w:tblGrid>
        <w:gridCol w:w="4028"/>
        <w:gridCol w:w="4367"/>
      </w:tblGrid>
      <w:tr w:rsidR="005B0E4C" w:rsidRPr="001B1B53" w14:paraId="1EB84643" w14:textId="77777777" w:rsidTr="005B0E4C">
        <w:trPr>
          <w:trHeight w:val="339"/>
          <w:jc w:val="center"/>
        </w:trPr>
        <w:tc>
          <w:tcPr>
            <w:tcW w:w="2399" w:type="pct"/>
            <w:tcBorders>
              <w:top w:val="single" w:sz="4" w:space="0" w:color="auto"/>
              <w:left w:val="single" w:sz="4" w:space="0" w:color="auto"/>
              <w:bottom w:val="single" w:sz="4" w:space="0" w:color="auto"/>
              <w:right w:val="single" w:sz="4" w:space="0" w:color="auto"/>
            </w:tcBorders>
            <w:noWrap/>
            <w:vAlign w:val="center"/>
            <w:hideMark/>
          </w:tcPr>
          <w:p w14:paraId="31A6207C" w14:textId="77777777" w:rsidR="00295AAD" w:rsidRDefault="00295AAD" w:rsidP="00295AAD">
            <w:pPr>
              <w:spacing w:line="240" w:lineRule="auto"/>
              <w:ind w:firstLineChars="100" w:firstLine="180"/>
              <w:jc w:val="both"/>
              <w:rPr>
                <w:rFonts w:cs="Arial"/>
                <w:color w:val="auto"/>
                <w:sz w:val="18"/>
                <w:szCs w:val="18"/>
              </w:rPr>
            </w:pPr>
            <w:r>
              <w:rPr>
                <w:rFonts w:cs="Arial"/>
                <w:color w:val="auto"/>
                <w:sz w:val="18"/>
                <w:szCs w:val="18"/>
              </w:rPr>
              <w:t>Max weight</w:t>
            </w:r>
          </w:p>
        </w:tc>
        <w:tc>
          <w:tcPr>
            <w:tcW w:w="2601" w:type="pct"/>
            <w:tcBorders>
              <w:top w:val="single" w:sz="4" w:space="0" w:color="auto"/>
              <w:left w:val="single" w:sz="4" w:space="0" w:color="auto"/>
              <w:bottom w:val="single" w:sz="4" w:space="0" w:color="auto"/>
              <w:right w:val="single" w:sz="4" w:space="0" w:color="auto"/>
            </w:tcBorders>
            <w:vAlign w:val="center"/>
            <w:hideMark/>
          </w:tcPr>
          <w:p w14:paraId="4D38FFC0" w14:textId="27A964DD" w:rsidR="00295AAD" w:rsidRPr="00295AAD" w:rsidRDefault="00295AAD" w:rsidP="00295AAD">
            <w:pPr>
              <w:spacing w:line="240" w:lineRule="auto"/>
              <w:jc w:val="both"/>
              <w:rPr>
                <w:rFonts w:cs="Arial"/>
                <w:color w:val="auto"/>
                <w:sz w:val="18"/>
                <w:szCs w:val="18"/>
                <w:lang w:val="en-GB"/>
              </w:rPr>
            </w:pPr>
            <w:r>
              <w:rPr>
                <w:rFonts w:ascii="HelveticaNeueLTStd-Cn" w:hAnsi="HelveticaNeueLTStd-Cn" w:cs="HelveticaNeueLTStd-Cn"/>
                <w:color w:val="auto"/>
                <w:sz w:val="20"/>
                <w:lang w:val="en-GB" w:eastAsia="en-US"/>
              </w:rPr>
              <w:t xml:space="preserve">24,400 </w:t>
            </w:r>
            <w:r w:rsidRPr="00295AAD">
              <w:rPr>
                <w:rFonts w:cs="Arial"/>
                <w:color w:val="auto"/>
                <w:sz w:val="18"/>
                <w:szCs w:val="18"/>
                <w:lang w:val="en-GB"/>
              </w:rPr>
              <w:t xml:space="preserve">kg without blade // </w:t>
            </w:r>
            <w:r>
              <w:rPr>
                <w:rFonts w:ascii="HelveticaNeueLTStd-Cn" w:hAnsi="HelveticaNeueLTStd-Cn" w:cs="HelveticaNeueLTStd-Cn"/>
                <w:color w:val="auto"/>
                <w:sz w:val="20"/>
                <w:lang w:val="en-GB" w:eastAsia="en-US"/>
              </w:rPr>
              <w:t>26,000 kg with blade</w:t>
            </w:r>
          </w:p>
        </w:tc>
      </w:tr>
      <w:tr w:rsidR="005B0E4C" w14:paraId="7BDCDA7B" w14:textId="77777777" w:rsidTr="005B0E4C">
        <w:trPr>
          <w:trHeight w:val="273"/>
          <w:jc w:val="center"/>
        </w:trPr>
        <w:tc>
          <w:tcPr>
            <w:tcW w:w="2399" w:type="pct"/>
            <w:tcBorders>
              <w:top w:val="nil"/>
              <w:left w:val="single" w:sz="4" w:space="0" w:color="auto"/>
              <w:bottom w:val="single" w:sz="4" w:space="0" w:color="auto"/>
              <w:right w:val="single" w:sz="4" w:space="0" w:color="auto"/>
            </w:tcBorders>
            <w:noWrap/>
            <w:vAlign w:val="center"/>
            <w:hideMark/>
          </w:tcPr>
          <w:p w14:paraId="1E6C4631" w14:textId="77777777" w:rsidR="00295AAD" w:rsidRDefault="00295AAD" w:rsidP="00295AAD">
            <w:pPr>
              <w:spacing w:line="240" w:lineRule="auto"/>
              <w:ind w:firstLineChars="100" w:firstLine="180"/>
              <w:jc w:val="both"/>
              <w:rPr>
                <w:rFonts w:cs="Arial"/>
                <w:sz w:val="18"/>
                <w:szCs w:val="18"/>
              </w:rPr>
            </w:pPr>
            <w:r>
              <w:rPr>
                <w:rFonts w:cs="Arial"/>
                <w:sz w:val="18"/>
                <w:szCs w:val="18"/>
              </w:rPr>
              <w:t>Engine Power (ISO 14396)</w:t>
            </w:r>
          </w:p>
        </w:tc>
        <w:tc>
          <w:tcPr>
            <w:tcW w:w="2601" w:type="pct"/>
            <w:tcBorders>
              <w:top w:val="nil"/>
              <w:left w:val="single" w:sz="4" w:space="0" w:color="auto"/>
              <w:bottom w:val="single" w:sz="4" w:space="0" w:color="auto"/>
              <w:right w:val="single" w:sz="4" w:space="0" w:color="auto"/>
            </w:tcBorders>
            <w:vAlign w:val="center"/>
            <w:hideMark/>
          </w:tcPr>
          <w:p w14:paraId="3ACD9513" w14:textId="13E3FAED" w:rsidR="00295AAD" w:rsidRDefault="00295AAD" w:rsidP="00295AAD">
            <w:pPr>
              <w:spacing w:line="240" w:lineRule="auto"/>
              <w:jc w:val="both"/>
              <w:rPr>
                <w:rFonts w:cs="Arial"/>
                <w:color w:val="auto"/>
                <w:sz w:val="18"/>
                <w:szCs w:val="18"/>
              </w:rPr>
            </w:pPr>
            <w:r>
              <w:rPr>
                <w:rFonts w:cs="Arial"/>
                <w:color w:val="auto"/>
                <w:sz w:val="18"/>
                <w:szCs w:val="18"/>
              </w:rPr>
              <w:t>124 kW (166 hp)</w:t>
            </w:r>
          </w:p>
        </w:tc>
      </w:tr>
      <w:tr w:rsidR="005B0E4C" w14:paraId="5D58008F" w14:textId="77777777" w:rsidTr="005B0E4C">
        <w:trPr>
          <w:trHeight w:val="264"/>
          <w:jc w:val="center"/>
        </w:trPr>
        <w:tc>
          <w:tcPr>
            <w:tcW w:w="2399" w:type="pct"/>
            <w:tcBorders>
              <w:top w:val="nil"/>
              <w:left w:val="single" w:sz="4" w:space="0" w:color="auto"/>
              <w:bottom w:val="single" w:sz="4" w:space="0" w:color="auto"/>
              <w:right w:val="single" w:sz="4" w:space="0" w:color="auto"/>
            </w:tcBorders>
            <w:noWrap/>
            <w:vAlign w:val="center"/>
            <w:hideMark/>
          </w:tcPr>
          <w:p w14:paraId="62B6A60E" w14:textId="77777777" w:rsidR="00295AAD" w:rsidRDefault="00295AAD" w:rsidP="00295AAD">
            <w:pPr>
              <w:spacing w:line="240" w:lineRule="auto"/>
              <w:ind w:firstLineChars="100" w:firstLine="180"/>
              <w:jc w:val="both"/>
              <w:rPr>
                <w:rFonts w:cs="Arial"/>
                <w:sz w:val="18"/>
                <w:szCs w:val="18"/>
              </w:rPr>
            </w:pPr>
            <w:r>
              <w:rPr>
                <w:rFonts w:cs="Arial"/>
                <w:sz w:val="18"/>
                <w:szCs w:val="18"/>
              </w:rPr>
              <w:t>Engine Torque (ISO 14396)</w:t>
            </w:r>
          </w:p>
        </w:tc>
        <w:tc>
          <w:tcPr>
            <w:tcW w:w="2601" w:type="pct"/>
            <w:tcBorders>
              <w:top w:val="nil"/>
              <w:left w:val="single" w:sz="4" w:space="0" w:color="auto"/>
              <w:bottom w:val="single" w:sz="4" w:space="0" w:color="auto"/>
              <w:right w:val="single" w:sz="4" w:space="0" w:color="auto"/>
            </w:tcBorders>
            <w:vAlign w:val="center"/>
            <w:hideMark/>
          </w:tcPr>
          <w:p w14:paraId="140D4D37" w14:textId="6B03327E" w:rsidR="00295AAD" w:rsidRDefault="00295AAD" w:rsidP="00295AAD">
            <w:pPr>
              <w:spacing w:line="240" w:lineRule="auto"/>
              <w:jc w:val="both"/>
              <w:rPr>
                <w:rFonts w:cs="Arial"/>
                <w:color w:val="auto"/>
                <w:sz w:val="18"/>
                <w:szCs w:val="18"/>
              </w:rPr>
            </w:pPr>
            <w:r>
              <w:rPr>
                <w:rFonts w:cs="Arial"/>
                <w:color w:val="auto"/>
                <w:sz w:val="18"/>
                <w:szCs w:val="18"/>
              </w:rPr>
              <w:t>636 Nm</w:t>
            </w:r>
          </w:p>
        </w:tc>
      </w:tr>
      <w:tr w:rsidR="005B0E4C" w14:paraId="5F6FA3B3" w14:textId="77777777" w:rsidTr="005B0E4C">
        <w:trPr>
          <w:trHeight w:val="281"/>
          <w:jc w:val="center"/>
        </w:trPr>
        <w:tc>
          <w:tcPr>
            <w:tcW w:w="2399" w:type="pct"/>
            <w:tcBorders>
              <w:top w:val="nil"/>
              <w:left w:val="single" w:sz="4" w:space="0" w:color="auto"/>
              <w:bottom w:val="single" w:sz="4" w:space="0" w:color="auto"/>
              <w:right w:val="single" w:sz="4" w:space="0" w:color="auto"/>
            </w:tcBorders>
            <w:noWrap/>
            <w:vAlign w:val="center"/>
            <w:hideMark/>
          </w:tcPr>
          <w:p w14:paraId="141A5607" w14:textId="77777777" w:rsidR="00295AAD" w:rsidRDefault="00295AAD" w:rsidP="00295AAD">
            <w:pPr>
              <w:spacing w:line="240" w:lineRule="auto"/>
              <w:ind w:firstLineChars="100" w:firstLine="180"/>
              <w:jc w:val="both"/>
              <w:rPr>
                <w:rFonts w:cs="Arial"/>
                <w:sz w:val="18"/>
                <w:szCs w:val="18"/>
              </w:rPr>
            </w:pPr>
            <w:r>
              <w:rPr>
                <w:rFonts w:cs="Arial"/>
                <w:sz w:val="18"/>
                <w:szCs w:val="18"/>
              </w:rPr>
              <w:t>Emissions level</w:t>
            </w:r>
          </w:p>
        </w:tc>
        <w:tc>
          <w:tcPr>
            <w:tcW w:w="2601" w:type="pct"/>
            <w:tcBorders>
              <w:top w:val="nil"/>
              <w:left w:val="single" w:sz="4" w:space="0" w:color="auto"/>
              <w:bottom w:val="single" w:sz="4" w:space="0" w:color="auto"/>
              <w:right w:val="single" w:sz="4" w:space="0" w:color="auto"/>
            </w:tcBorders>
            <w:vAlign w:val="center"/>
            <w:hideMark/>
          </w:tcPr>
          <w:p w14:paraId="5163097B" w14:textId="77777777" w:rsidR="00295AAD" w:rsidRDefault="00295AAD" w:rsidP="00295AAD">
            <w:pPr>
              <w:spacing w:line="240" w:lineRule="auto"/>
              <w:jc w:val="both"/>
              <w:rPr>
                <w:rFonts w:cs="Arial"/>
                <w:color w:val="auto"/>
                <w:sz w:val="18"/>
                <w:szCs w:val="18"/>
              </w:rPr>
            </w:pPr>
            <w:r>
              <w:rPr>
                <w:rFonts w:cs="Arial"/>
                <w:color w:val="auto"/>
                <w:sz w:val="18"/>
                <w:szCs w:val="18"/>
              </w:rPr>
              <w:t>Tier4 Final / Stage IV</w:t>
            </w:r>
          </w:p>
        </w:tc>
      </w:tr>
      <w:tr w:rsidR="005B0E4C" w14:paraId="179A6B3D" w14:textId="77777777" w:rsidTr="005B0E4C">
        <w:trPr>
          <w:trHeight w:val="272"/>
          <w:jc w:val="center"/>
        </w:trPr>
        <w:tc>
          <w:tcPr>
            <w:tcW w:w="2399" w:type="pct"/>
            <w:tcBorders>
              <w:top w:val="nil"/>
              <w:left w:val="single" w:sz="4" w:space="0" w:color="auto"/>
              <w:bottom w:val="single" w:sz="4" w:space="0" w:color="auto"/>
              <w:right w:val="single" w:sz="4" w:space="0" w:color="auto"/>
            </w:tcBorders>
            <w:noWrap/>
            <w:vAlign w:val="center"/>
            <w:hideMark/>
          </w:tcPr>
          <w:p w14:paraId="58E7F912" w14:textId="77777777" w:rsidR="00295AAD" w:rsidRDefault="00295AAD" w:rsidP="00295AAD">
            <w:pPr>
              <w:spacing w:line="240" w:lineRule="auto"/>
              <w:ind w:firstLineChars="100" w:firstLine="180"/>
              <w:jc w:val="both"/>
              <w:rPr>
                <w:rFonts w:cs="Arial"/>
                <w:sz w:val="18"/>
                <w:szCs w:val="18"/>
              </w:rPr>
            </w:pPr>
            <w:r>
              <w:rPr>
                <w:rFonts w:cs="Arial"/>
                <w:sz w:val="18"/>
                <w:szCs w:val="18"/>
              </w:rPr>
              <w:t>Pumps flow</w:t>
            </w:r>
          </w:p>
        </w:tc>
        <w:tc>
          <w:tcPr>
            <w:tcW w:w="2601" w:type="pct"/>
            <w:tcBorders>
              <w:top w:val="nil"/>
              <w:left w:val="single" w:sz="4" w:space="0" w:color="auto"/>
              <w:bottom w:val="single" w:sz="4" w:space="0" w:color="auto"/>
              <w:right w:val="single" w:sz="4" w:space="0" w:color="auto"/>
            </w:tcBorders>
            <w:vAlign w:val="center"/>
            <w:hideMark/>
          </w:tcPr>
          <w:p w14:paraId="564B08B8" w14:textId="23E992D6" w:rsidR="00295AAD" w:rsidRDefault="00295AAD" w:rsidP="00295AAD">
            <w:pPr>
              <w:spacing w:line="240" w:lineRule="auto"/>
              <w:jc w:val="both"/>
              <w:rPr>
                <w:rFonts w:cs="Arial"/>
                <w:color w:val="auto"/>
                <w:sz w:val="18"/>
                <w:szCs w:val="18"/>
              </w:rPr>
            </w:pPr>
            <w:r>
              <w:rPr>
                <w:rFonts w:cs="Arial"/>
                <w:color w:val="auto"/>
                <w:sz w:val="18"/>
                <w:szCs w:val="18"/>
              </w:rPr>
              <w:t>2 x 211 l/min</w:t>
            </w:r>
          </w:p>
        </w:tc>
      </w:tr>
      <w:tr w:rsidR="005B0E4C" w14:paraId="3F50E80D" w14:textId="77777777" w:rsidTr="005B0E4C">
        <w:trPr>
          <w:trHeight w:val="645"/>
          <w:jc w:val="center"/>
        </w:trPr>
        <w:tc>
          <w:tcPr>
            <w:tcW w:w="2399" w:type="pct"/>
            <w:tcBorders>
              <w:top w:val="nil"/>
              <w:left w:val="single" w:sz="4" w:space="0" w:color="auto"/>
              <w:bottom w:val="single" w:sz="4" w:space="0" w:color="auto"/>
              <w:right w:val="single" w:sz="4" w:space="0" w:color="auto"/>
            </w:tcBorders>
            <w:noWrap/>
            <w:vAlign w:val="center"/>
            <w:hideMark/>
          </w:tcPr>
          <w:p w14:paraId="1A10C852" w14:textId="77777777" w:rsidR="00295AAD" w:rsidRDefault="00295AAD" w:rsidP="00295AAD">
            <w:pPr>
              <w:spacing w:line="240" w:lineRule="auto"/>
              <w:ind w:firstLineChars="100" w:firstLine="180"/>
              <w:jc w:val="both"/>
              <w:rPr>
                <w:rFonts w:cs="Arial"/>
                <w:sz w:val="18"/>
                <w:szCs w:val="18"/>
              </w:rPr>
            </w:pPr>
            <w:r>
              <w:rPr>
                <w:rFonts w:cs="Arial"/>
                <w:sz w:val="18"/>
                <w:szCs w:val="18"/>
              </w:rPr>
              <w:t>Max reach</w:t>
            </w:r>
          </w:p>
        </w:tc>
        <w:tc>
          <w:tcPr>
            <w:tcW w:w="2601" w:type="pct"/>
            <w:tcBorders>
              <w:top w:val="nil"/>
              <w:left w:val="single" w:sz="4" w:space="0" w:color="auto"/>
              <w:bottom w:val="single" w:sz="4" w:space="0" w:color="auto"/>
              <w:right w:val="single" w:sz="4" w:space="0" w:color="auto"/>
            </w:tcBorders>
            <w:vAlign w:val="center"/>
            <w:hideMark/>
          </w:tcPr>
          <w:p w14:paraId="7F33905A" w14:textId="638266DD" w:rsidR="00295AAD" w:rsidRPr="00295AAD" w:rsidRDefault="00295AAD" w:rsidP="00295AAD">
            <w:pPr>
              <w:spacing w:line="240" w:lineRule="auto"/>
              <w:jc w:val="both"/>
              <w:rPr>
                <w:rFonts w:ascii="HelveticaNeueLTStd-Cn" w:hAnsi="HelveticaNeueLTStd-Cn" w:cs="HelveticaNeueLTStd-Cn"/>
                <w:color w:val="auto"/>
                <w:sz w:val="18"/>
                <w:szCs w:val="18"/>
                <w:lang w:val="en-GB" w:eastAsia="en-US"/>
              </w:rPr>
            </w:pPr>
            <w:r>
              <w:rPr>
                <w:rFonts w:ascii="HelveticaNeueLTStd-Cn" w:hAnsi="HelveticaNeueLTStd-Cn" w:cs="HelveticaNeueLTStd-Cn"/>
                <w:color w:val="auto"/>
                <w:sz w:val="18"/>
                <w:szCs w:val="18"/>
                <w:lang w:val="en-GB" w:eastAsia="en-US"/>
              </w:rPr>
              <w:t>9.</w:t>
            </w:r>
            <w:r w:rsidRPr="00295AAD">
              <w:rPr>
                <w:rFonts w:ascii="HelveticaNeueLTStd-Cn" w:hAnsi="HelveticaNeueLTStd-Cn" w:cs="HelveticaNeueLTStd-Cn"/>
                <w:color w:val="auto"/>
                <w:sz w:val="18"/>
                <w:szCs w:val="18"/>
                <w:lang w:val="en-GB" w:eastAsia="en-US"/>
              </w:rPr>
              <w:t>37 m (</w:t>
            </w:r>
            <w:r w:rsidRPr="00295AAD">
              <w:rPr>
                <w:rFonts w:ascii="HelveticaNeueLTStd-BdCn" w:hAnsi="HelveticaNeueLTStd-BdCn" w:cs="HelveticaNeueLTStd-BdCn"/>
                <w:color w:val="auto"/>
                <w:sz w:val="18"/>
                <w:szCs w:val="18"/>
                <w:lang w:val="en-GB" w:eastAsia="en-US"/>
              </w:rPr>
              <w:t>Arm 2.4 m HD</w:t>
            </w:r>
            <w:r w:rsidRPr="00295AAD">
              <w:rPr>
                <w:rFonts w:ascii="HelveticaNeueLTStd-Cn" w:hAnsi="HelveticaNeueLTStd-Cn" w:cs="HelveticaNeueLTStd-Cn"/>
                <w:color w:val="auto"/>
                <w:sz w:val="18"/>
                <w:szCs w:val="18"/>
                <w:lang w:val="en-GB" w:eastAsia="en-US"/>
              </w:rPr>
              <w:t xml:space="preserve">) </w:t>
            </w:r>
          </w:p>
          <w:p w14:paraId="40284627" w14:textId="1CB11D81" w:rsidR="00295AAD" w:rsidRPr="00295AAD" w:rsidRDefault="00295AAD" w:rsidP="00295AAD">
            <w:pPr>
              <w:spacing w:line="240" w:lineRule="auto"/>
              <w:jc w:val="both"/>
              <w:rPr>
                <w:rFonts w:ascii="HelveticaNeueLTStd-Cn" w:hAnsi="HelveticaNeueLTStd-Cn" w:cs="HelveticaNeueLTStd-Cn"/>
                <w:color w:val="auto"/>
                <w:sz w:val="18"/>
                <w:szCs w:val="18"/>
                <w:lang w:val="en-GB" w:eastAsia="en-US"/>
              </w:rPr>
            </w:pPr>
            <w:r w:rsidRPr="00295AAD">
              <w:rPr>
                <w:rFonts w:ascii="HelveticaNeueLTStd-Cn" w:hAnsi="HelveticaNeueLTStd-Cn" w:cs="HelveticaNeueLTStd-Cn"/>
                <w:color w:val="auto"/>
                <w:sz w:val="18"/>
                <w:szCs w:val="18"/>
                <w:lang w:val="en-GB" w:eastAsia="en-US"/>
              </w:rPr>
              <w:t>8.91 m (</w:t>
            </w:r>
            <w:r w:rsidRPr="00295AAD">
              <w:rPr>
                <w:rFonts w:ascii="HelveticaNeueLTStd-BdCn" w:hAnsi="HelveticaNeueLTStd-BdCn" w:cs="HelveticaNeueLTStd-BdCn"/>
                <w:color w:val="auto"/>
                <w:sz w:val="18"/>
                <w:szCs w:val="18"/>
                <w:lang w:val="en-GB" w:eastAsia="en-US"/>
              </w:rPr>
              <w:t>Arm 1.90 m HD</w:t>
            </w:r>
            <w:r w:rsidRPr="00295AAD">
              <w:rPr>
                <w:rFonts w:ascii="HelveticaNeueLTStd-Cn" w:hAnsi="HelveticaNeueLTStd-Cn" w:cs="HelveticaNeueLTStd-Cn"/>
                <w:color w:val="auto"/>
                <w:sz w:val="18"/>
                <w:szCs w:val="18"/>
                <w:lang w:val="en-GB" w:eastAsia="en-US"/>
              </w:rPr>
              <w:t xml:space="preserve">) </w:t>
            </w:r>
          </w:p>
          <w:p w14:paraId="10E1BE5E" w14:textId="51C5A2F2" w:rsidR="00295AAD" w:rsidRDefault="00295AAD" w:rsidP="00295AAD">
            <w:pPr>
              <w:spacing w:line="240" w:lineRule="auto"/>
              <w:jc w:val="both"/>
              <w:rPr>
                <w:rFonts w:cs="Arial"/>
                <w:color w:val="auto"/>
                <w:sz w:val="18"/>
                <w:szCs w:val="18"/>
              </w:rPr>
            </w:pPr>
            <w:r w:rsidRPr="00295AAD">
              <w:rPr>
                <w:rFonts w:ascii="HelveticaNeueLTStd-Cn" w:hAnsi="HelveticaNeueLTStd-Cn" w:cs="HelveticaNeueLTStd-Cn"/>
                <w:color w:val="auto"/>
                <w:sz w:val="18"/>
                <w:szCs w:val="18"/>
                <w:lang w:val="en-GB" w:eastAsia="en-US"/>
              </w:rPr>
              <w:t>9.85 m (</w:t>
            </w:r>
            <w:r w:rsidRPr="00295AAD">
              <w:rPr>
                <w:rFonts w:ascii="HelveticaNeueLTStd-BdCn" w:hAnsi="HelveticaNeueLTStd-BdCn" w:cs="HelveticaNeueLTStd-BdCn"/>
                <w:color w:val="auto"/>
                <w:sz w:val="18"/>
                <w:szCs w:val="18"/>
                <w:lang w:val="en-GB" w:eastAsia="en-US"/>
              </w:rPr>
              <w:t>Arm 2.95 m</w:t>
            </w:r>
            <w:r w:rsidRPr="00295AAD">
              <w:rPr>
                <w:rFonts w:ascii="HelveticaNeueLTStd-Cn" w:hAnsi="HelveticaNeueLTStd-Cn" w:cs="HelveticaNeueLTStd-Cn"/>
                <w:color w:val="auto"/>
                <w:sz w:val="18"/>
                <w:szCs w:val="18"/>
                <w:lang w:val="en-GB" w:eastAsia="en-US"/>
              </w:rPr>
              <w:t>)</w:t>
            </w:r>
          </w:p>
        </w:tc>
      </w:tr>
      <w:tr w:rsidR="005B0E4C" w14:paraId="09046BD5" w14:textId="77777777" w:rsidTr="005B0E4C">
        <w:trPr>
          <w:trHeight w:val="435"/>
          <w:jc w:val="center"/>
        </w:trPr>
        <w:tc>
          <w:tcPr>
            <w:tcW w:w="2399" w:type="pct"/>
            <w:tcBorders>
              <w:top w:val="nil"/>
              <w:left w:val="single" w:sz="4" w:space="0" w:color="auto"/>
              <w:bottom w:val="single" w:sz="4" w:space="0" w:color="auto"/>
              <w:right w:val="single" w:sz="4" w:space="0" w:color="auto"/>
            </w:tcBorders>
            <w:noWrap/>
            <w:vAlign w:val="center"/>
            <w:hideMark/>
          </w:tcPr>
          <w:p w14:paraId="1DE314A4" w14:textId="77777777" w:rsidR="00295AAD" w:rsidRDefault="00295AAD" w:rsidP="00295AAD">
            <w:pPr>
              <w:spacing w:line="240" w:lineRule="auto"/>
              <w:ind w:firstLineChars="100" w:firstLine="180"/>
              <w:jc w:val="both"/>
              <w:rPr>
                <w:rFonts w:cs="Arial"/>
                <w:sz w:val="18"/>
                <w:szCs w:val="18"/>
              </w:rPr>
            </w:pPr>
            <w:r>
              <w:rPr>
                <w:rFonts w:cs="Arial"/>
                <w:sz w:val="18"/>
                <w:szCs w:val="18"/>
              </w:rPr>
              <w:t>Max digging depth</w:t>
            </w:r>
          </w:p>
        </w:tc>
        <w:tc>
          <w:tcPr>
            <w:tcW w:w="2601" w:type="pct"/>
            <w:tcBorders>
              <w:top w:val="nil"/>
              <w:left w:val="single" w:sz="4" w:space="0" w:color="auto"/>
              <w:bottom w:val="single" w:sz="4" w:space="0" w:color="auto"/>
              <w:right w:val="single" w:sz="4" w:space="0" w:color="auto"/>
            </w:tcBorders>
            <w:vAlign w:val="center"/>
            <w:hideMark/>
          </w:tcPr>
          <w:p w14:paraId="07E047EA" w14:textId="42CFF3FA" w:rsidR="00295AAD" w:rsidRDefault="00295AAD" w:rsidP="00295AAD">
            <w:pPr>
              <w:spacing w:line="240" w:lineRule="auto"/>
              <w:jc w:val="both"/>
              <w:rPr>
                <w:rFonts w:ascii="HelveticaNeueLTStd-Cn" w:hAnsi="HelveticaNeueLTStd-Cn" w:cs="HelveticaNeueLTStd-Cn"/>
                <w:color w:val="auto"/>
                <w:sz w:val="18"/>
                <w:szCs w:val="18"/>
                <w:lang w:val="en-GB" w:eastAsia="en-US"/>
              </w:rPr>
            </w:pPr>
            <w:r>
              <w:rPr>
                <w:rFonts w:ascii="HelveticaNeueLTStd-Cn" w:hAnsi="HelveticaNeueLTStd-Cn" w:cs="HelveticaNeueLTStd-Cn"/>
                <w:color w:val="auto"/>
                <w:sz w:val="18"/>
                <w:szCs w:val="18"/>
                <w:lang w:val="en-GB" w:eastAsia="en-US"/>
              </w:rPr>
              <w:t>6</w:t>
            </w:r>
            <w:r w:rsidR="005B0E4C">
              <w:rPr>
                <w:rFonts w:ascii="HelveticaNeueLTStd-Cn" w:hAnsi="HelveticaNeueLTStd-Cn" w:cs="HelveticaNeueLTStd-Cn"/>
                <w:color w:val="auto"/>
                <w:sz w:val="18"/>
                <w:szCs w:val="18"/>
                <w:lang w:val="en-GB" w:eastAsia="en-US"/>
              </w:rPr>
              <w:t>.12 m</w:t>
            </w:r>
            <w:r>
              <w:rPr>
                <w:rFonts w:ascii="HelveticaNeueLTStd-Cn" w:hAnsi="HelveticaNeueLTStd-Cn" w:cs="HelveticaNeueLTStd-Cn"/>
                <w:color w:val="auto"/>
                <w:sz w:val="18"/>
                <w:szCs w:val="18"/>
                <w:lang w:val="en-GB" w:eastAsia="en-US"/>
              </w:rPr>
              <w:t xml:space="preserve"> </w:t>
            </w:r>
            <w:r w:rsidRPr="00295AAD">
              <w:rPr>
                <w:rFonts w:ascii="HelveticaNeueLTStd-Cn" w:hAnsi="HelveticaNeueLTStd-Cn" w:cs="HelveticaNeueLTStd-Cn"/>
                <w:color w:val="auto"/>
                <w:sz w:val="18"/>
                <w:szCs w:val="18"/>
                <w:lang w:val="en-GB" w:eastAsia="en-US"/>
              </w:rPr>
              <w:t>(</w:t>
            </w:r>
            <w:r w:rsidRPr="00295AAD">
              <w:rPr>
                <w:rFonts w:ascii="HelveticaNeueLTStd-BdCn" w:hAnsi="HelveticaNeueLTStd-BdCn" w:cs="HelveticaNeueLTStd-BdCn"/>
                <w:color w:val="auto"/>
                <w:sz w:val="18"/>
                <w:szCs w:val="18"/>
                <w:lang w:val="en-GB" w:eastAsia="en-US"/>
              </w:rPr>
              <w:t>Arm 2.4 m HD</w:t>
            </w:r>
            <w:r w:rsidRPr="00295AAD">
              <w:rPr>
                <w:rFonts w:ascii="HelveticaNeueLTStd-Cn" w:hAnsi="HelveticaNeueLTStd-Cn" w:cs="HelveticaNeueLTStd-Cn"/>
                <w:color w:val="auto"/>
                <w:sz w:val="18"/>
                <w:szCs w:val="18"/>
                <w:lang w:val="en-GB" w:eastAsia="en-US"/>
              </w:rPr>
              <w:t xml:space="preserve">) </w:t>
            </w:r>
          </w:p>
          <w:p w14:paraId="04116763" w14:textId="08D34761" w:rsidR="00295AAD" w:rsidRDefault="00295AAD" w:rsidP="00295AAD">
            <w:pPr>
              <w:spacing w:line="240" w:lineRule="auto"/>
              <w:jc w:val="both"/>
              <w:rPr>
                <w:rFonts w:ascii="HelveticaNeueLTStd-Cn" w:hAnsi="HelveticaNeueLTStd-Cn" w:cs="HelveticaNeueLTStd-Cn"/>
                <w:color w:val="auto"/>
                <w:sz w:val="18"/>
                <w:szCs w:val="18"/>
                <w:lang w:val="en-GB" w:eastAsia="en-US"/>
              </w:rPr>
            </w:pPr>
            <w:r>
              <w:rPr>
                <w:rFonts w:ascii="HelveticaNeueLTStd-Cn" w:hAnsi="HelveticaNeueLTStd-Cn" w:cs="HelveticaNeueLTStd-Cn"/>
                <w:color w:val="auto"/>
                <w:sz w:val="18"/>
                <w:szCs w:val="18"/>
                <w:lang w:val="en-GB" w:eastAsia="en-US"/>
              </w:rPr>
              <w:t>5</w:t>
            </w:r>
            <w:r w:rsidR="005B0E4C">
              <w:rPr>
                <w:rFonts w:ascii="HelveticaNeueLTStd-Cn" w:hAnsi="HelveticaNeueLTStd-Cn" w:cs="HelveticaNeueLTStd-Cn"/>
                <w:color w:val="auto"/>
                <w:sz w:val="18"/>
                <w:szCs w:val="18"/>
                <w:lang w:val="en-GB" w:eastAsia="en-US"/>
              </w:rPr>
              <w:t>.62 m</w:t>
            </w:r>
            <w:r w:rsidRPr="00295AAD">
              <w:rPr>
                <w:rFonts w:ascii="HelveticaNeueLTStd-Cn" w:hAnsi="HelveticaNeueLTStd-Cn" w:cs="HelveticaNeueLTStd-Cn"/>
                <w:color w:val="auto"/>
                <w:sz w:val="18"/>
                <w:szCs w:val="18"/>
                <w:lang w:val="en-GB" w:eastAsia="en-US"/>
              </w:rPr>
              <w:t>(</w:t>
            </w:r>
            <w:r w:rsidRPr="00295AAD">
              <w:rPr>
                <w:rFonts w:ascii="HelveticaNeueLTStd-BdCn" w:hAnsi="HelveticaNeueLTStd-BdCn" w:cs="HelveticaNeueLTStd-BdCn"/>
                <w:color w:val="auto"/>
                <w:sz w:val="18"/>
                <w:szCs w:val="18"/>
                <w:lang w:val="en-GB" w:eastAsia="en-US"/>
              </w:rPr>
              <w:t>Arm 1.90 m HD</w:t>
            </w:r>
            <w:r w:rsidRPr="00295AAD">
              <w:rPr>
                <w:rFonts w:ascii="HelveticaNeueLTStd-Cn" w:hAnsi="HelveticaNeueLTStd-Cn" w:cs="HelveticaNeueLTStd-Cn"/>
                <w:color w:val="auto"/>
                <w:sz w:val="18"/>
                <w:szCs w:val="18"/>
                <w:lang w:val="en-GB" w:eastAsia="en-US"/>
              </w:rPr>
              <w:t xml:space="preserve">) </w:t>
            </w:r>
          </w:p>
          <w:p w14:paraId="2B9B89DB" w14:textId="2E81688D" w:rsidR="00295AAD" w:rsidRDefault="00295AAD" w:rsidP="00295AAD">
            <w:pPr>
              <w:spacing w:line="240" w:lineRule="auto"/>
              <w:jc w:val="both"/>
              <w:rPr>
                <w:rFonts w:cs="Arial"/>
                <w:color w:val="auto"/>
                <w:sz w:val="18"/>
                <w:szCs w:val="18"/>
              </w:rPr>
            </w:pPr>
            <w:r>
              <w:rPr>
                <w:rFonts w:ascii="HelveticaNeueLTStd-Cn" w:hAnsi="HelveticaNeueLTStd-Cn" w:cs="HelveticaNeueLTStd-Cn"/>
                <w:color w:val="auto"/>
                <w:sz w:val="18"/>
                <w:szCs w:val="18"/>
                <w:lang w:val="en-GB" w:eastAsia="en-US"/>
              </w:rPr>
              <w:t>6</w:t>
            </w:r>
            <w:r w:rsidR="005B0E4C">
              <w:rPr>
                <w:rFonts w:ascii="HelveticaNeueLTStd-Cn" w:hAnsi="HelveticaNeueLTStd-Cn" w:cs="HelveticaNeueLTStd-Cn"/>
                <w:color w:val="auto"/>
                <w:sz w:val="18"/>
                <w:szCs w:val="18"/>
                <w:lang w:val="en-GB" w:eastAsia="en-US"/>
              </w:rPr>
              <w:t>.65 m</w:t>
            </w:r>
            <w:r>
              <w:rPr>
                <w:rFonts w:ascii="HelveticaNeueLTStd-Cn" w:hAnsi="HelveticaNeueLTStd-Cn" w:cs="HelveticaNeueLTStd-Cn"/>
                <w:color w:val="auto"/>
                <w:sz w:val="18"/>
                <w:szCs w:val="18"/>
                <w:lang w:val="en-GB" w:eastAsia="en-US"/>
              </w:rPr>
              <w:t xml:space="preserve"> </w:t>
            </w:r>
            <w:r w:rsidRPr="00295AAD">
              <w:rPr>
                <w:rFonts w:ascii="HelveticaNeueLTStd-Cn" w:hAnsi="HelveticaNeueLTStd-Cn" w:cs="HelveticaNeueLTStd-Cn"/>
                <w:color w:val="auto"/>
                <w:sz w:val="18"/>
                <w:szCs w:val="18"/>
                <w:lang w:val="en-GB" w:eastAsia="en-US"/>
              </w:rPr>
              <w:t>(</w:t>
            </w:r>
            <w:r w:rsidRPr="00295AAD">
              <w:rPr>
                <w:rFonts w:ascii="HelveticaNeueLTStd-BdCn" w:hAnsi="HelveticaNeueLTStd-BdCn" w:cs="HelveticaNeueLTStd-BdCn"/>
                <w:color w:val="auto"/>
                <w:sz w:val="18"/>
                <w:szCs w:val="18"/>
                <w:lang w:val="en-GB" w:eastAsia="en-US"/>
              </w:rPr>
              <w:t>Arm 2.95 m</w:t>
            </w:r>
            <w:r w:rsidRPr="00295AAD">
              <w:rPr>
                <w:rFonts w:ascii="HelveticaNeueLTStd-Cn" w:hAnsi="HelveticaNeueLTStd-Cn" w:cs="HelveticaNeueLTStd-Cn"/>
                <w:color w:val="auto"/>
                <w:sz w:val="18"/>
                <w:szCs w:val="18"/>
                <w:lang w:val="en-GB" w:eastAsia="en-US"/>
              </w:rPr>
              <w:t>)</w:t>
            </w:r>
          </w:p>
        </w:tc>
      </w:tr>
      <w:tr w:rsidR="00295AAD" w14:paraId="38D1A69E" w14:textId="77777777" w:rsidTr="005B0E4C">
        <w:trPr>
          <w:trHeight w:val="134"/>
          <w:jc w:val="center"/>
        </w:trPr>
        <w:tc>
          <w:tcPr>
            <w:tcW w:w="2399" w:type="pct"/>
            <w:tcBorders>
              <w:top w:val="nil"/>
              <w:left w:val="single" w:sz="4" w:space="0" w:color="auto"/>
              <w:bottom w:val="single" w:sz="4" w:space="0" w:color="auto"/>
              <w:right w:val="single" w:sz="4" w:space="0" w:color="auto"/>
            </w:tcBorders>
            <w:noWrap/>
            <w:vAlign w:val="center"/>
            <w:hideMark/>
          </w:tcPr>
          <w:p w14:paraId="061A463E" w14:textId="77777777" w:rsidR="00295AAD" w:rsidRDefault="00295AAD" w:rsidP="00295AAD">
            <w:pPr>
              <w:spacing w:line="240" w:lineRule="auto"/>
              <w:rPr>
                <w:rFonts w:cs="Arial"/>
                <w:szCs w:val="19"/>
                <w:lang w:val="en-GB"/>
              </w:rPr>
            </w:pPr>
            <w:r>
              <w:rPr>
                <w:rFonts w:ascii="HelveticaNeueLTStd-Cn" w:hAnsi="HelveticaNeueLTStd-Cn" w:cs="HelveticaNeueLTStd-Cn"/>
                <w:color w:val="auto"/>
                <w:sz w:val="18"/>
                <w:szCs w:val="18"/>
                <w:lang w:val="en-GB" w:eastAsia="en-US"/>
              </w:rPr>
              <w:t>Swing (rear end) radius STD count</w:t>
            </w:r>
            <w:proofErr w:type="gramStart"/>
            <w:r>
              <w:rPr>
                <w:rFonts w:ascii="HelveticaNeueLTStd-Cn" w:hAnsi="HelveticaNeueLTStd-Cn" w:cs="HelveticaNeueLTStd-Cn"/>
                <w:color w:val="auto"/>
                <w:sz w:val="18"/>
                <w:szCs w:val="18"/>
                <w:lang w:val="en-GB" w:eastAsia="en-US"/>
              </w:rPr>
              <w:t>./</w:t>
            </w:r>
            <w:proofErr w:type="gramEnd"/>
            <w:r>
              <w:rPr>
                <w:rFonts w:ascii="HelveticaNeueLTStd-Cn" w:hAnsi="HelveticaNeueLTStd-Cn" w:cs="HelveticaNeueLTStd-Cn"/>
                <w:color w:val="auto"/>
                <w:sz w:val="18"/>
                <w:szCs w:val="18"/>
                <w:lang w:val="en-GB" w:eastAsia="en-US"/>
              </w:rPr>
              <w:t>extra count.</w:t>
            </w:r>
          </w:p>
          <w:p w14:paraId="4395632F" w14:textId="226E8CBF" w:rsidR="00295AAD" w:rsidRPr="00295AAD" w:rsidRDefault="00295AAD" w:rsidP="003C0237">
            <w:pPr>
              <w:spacing w:line="240" w:lineRule="auto"/>
              <w:ind w:firstLineChars="100" w:firstLine="180"/>
              <w:jc w:val="both"/>
              <w:rPr>
                <w:rFonts w:cs="Arial"/>
                <w:sz w:val="18"/>
                <w:szCs w:val="18"/>
                <w:lang w:val="en-GB"/>
              </w:rPr>
            </w:pPr>
          </w:p>
        </w:tc>
        <w:tc>
          <w:tcPr>
            <w:tcW w:w="2601" w:type="pct"/>
            <w:tcBorders>
              <w:top w:val="nil"/>
              <w:left w:val="single" w:sz="4" w:space="0" w:color="auto"/>
              <w:bottom w:val="single" w:sz="4" w:space="0" w:color="auto"/>
              <w:right w:val="single" w:sz="4" w:space="0" w:color="auto"/>
            </w:tcBorders>
            <w:vAlign w:val="center"/>
            <w:hideMark/>
          </w:tcPr>
          <w:p w14:paraId="11A9C405" w14:textId="5BF7514D" w:rsidR="00295AAD" w:rsidRPr="00295AAD" w:rsidRDefault="005B0E4C" w:rsidP="005B0E4C">
            <w:pPr>
              <w:spacing w:line="240" w:lineRule="auto"/>
              <w:jc w:val="both"/>
              <w:rPr>
                <w:rFonts w:ascii="HelveticaNeueLTStd-Cn" w:hAnsi="HelveticaNeueLTStd-Cn" w:cs="HelveticaNeueLTStd-Cn"/>
                <w:color w:val="auto"/>
                <w:sz w:val="18"/>
                <w:szCs w:val="18"/>
                <w:lang w:val="en-GB" w:eastAsia="en-US"/>
              </w:rPr>
            </w:pPr>
            <w:r>
              <w:rPr>
                <w:rFonts w:ascii="HelveticaNeueLTStd-Cn" w:hAnsi="HelveticaNeueLTStd-Cn" w:cs="HelveticaNeueLTStd-Cn"/>
                <w:color w:val="auto"/>
                <w:sz w:val="18"/>
                <w:szCs w:val="18"/>
                <w:lang w:val="en-GB" w:eastAsia="en-US"/>
              </w:rPr>
              <w:t>1.72 m</w:t>
            </w:r>
          </w:p>
        </w:tc>
      </w:tr>
    </w:tbl>
    <w:p w14:paraId="28DD6F4B" w14:textId="77777777" w:rsidR="00295AAD" w:rsidRDefault="00295AAD">
      <w:pPr>
        <w:spacing w:line="240" w:lineRule="auto"/>
        <w:rPr>
          <w:color w:val="auto"/>
          <w:lang w:val="en-GB"/>
        </w:rPr>
      </w:pPr>
    </w:p>
    <w:p w14:paraId="1CD15ADC" w14:textId="1E43D69A" w:rsidR="00197D07" w:rsidRPr="00FF50A9" w:rsidRDefault="00197D07" w:rsidP="00F04CEF">
      <w:pPr>
        <w:pStyle w:val="style2"/>
        <w:spacing w:before="0" w:beforeAutospacing="0" w:after="20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r w:rsidR="009420C7" w:rsidRPr="009420C7">
        <w:rPr>
          <w:sz w:val="19"/>
          <w:szCs w:val="19"/>
          <w:lang w:val="en-GB"/>
        </w:rPr>
        <w:t>www.casecetools.com/press-kit</w:t>
      </w:r>
    </w:p>
    <w:p w14:paraId="1A9BA490" w14:textId="77777777" w:rsidR="00435506" w:rsidRDefault="00435506">
      <w:pPr>
        <w:spacing w:line="240" w:lineRule="auto"/>
        <w:rPr>
          <w:rFonts w:cs="Arial"/>
          <w:szCs w:val="19"/>
          <w:lang w:val="en-GB" w:eastAsia="es-ES"/>
        </w:rPr>
      </w:pPr>
    </w:p>
    <w:p w14:paraId="6004DF9C" w14:textId="77777777" w:rsidR="00197D07" w:rsidRPr="00FF50A9" w:rsidRDefault="00197D07" w:rsidP="00F04CEF">
      <w:pPr>
        <w:pStyle w:val="style2"/>
        <w:spacing w:before="0" w:beforeAutospacing="0" w:after="20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1072A9BF"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6CEF1B3D" w14:textId="77777777" w:rsidTr="00D067C0">
              <w:trPr>
                <w:trHeight w:val="442"/>
                <w:tblCellSpacing w:w="0" w:type="dxa"/>
              </w:trPr>
              <w:tc>
                <w:tcPr>
                  <w:tcW w:w="570" w:type="dxa"/>
                  <w:vAlign w:val="center"/>
                  <w:hideMark/>
                </w:tcPr>
                <w:p w14:paraId="36033F76" w14:textId="4D1DEEF9" w:rsidR="00197D07" w:rsidRPr="00FF50A9" w:rsidRDefault="00197D07" w:rsidP="00F04CEF">
                  <w:pPr>
                    <w:spacing w:after="200" w:line="240" w:lineRule="auto"/>
                    <w:jc w:val="both"/>
                    <w:rPr>
                      <w:rFonts w:ascii="Calibri" w:eastAsia="Calibri" w:hAnsi="Calibri"/>
                      <w:sz w:val="22"/>
                      <w:szCs w:val="22"/>
                      <w:lang w:val="en-GB"/>
                    </w:rPr>
                  </w:pPr>
                  <w:r w:rsidRPr="00FF50A9">
                    <w:rPr>
                      <w:noProof/>
                      <w:lang w:val="en-GB" w:eastAsia="en-GB"/>
                    </w:rPr>
                    <w:drawing>
                      <wp:inline distT="0" distB="0" distL="0" distR="0" wp14:anchorId="554E2EF7" wp14:editId="336C8A3E">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5A658E6"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660039D9" wp14:editId="31B8250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9AD50E3"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00726128" wp14:editId="3F05F18E">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1904EC6F"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6210AD00" wp14:editId="34C9CB31">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2BF4E6DA" w14:textId="77777777" w:rsidR="00197D07" w:rsidRPr="00FF50A9" w:rsidRDefault="00197D07" w:rsidP="00F04CEF">
            <w:pPr>
              <w:spacing w:after="200" w:line="240" w:lineRule="auto"/>
              <w:jc w:val="both"/>
              <w:rPr>
                <w:rFonts w:ascii="Times New Roman" w:hAnsi="Times New Roman"/>
                <w:sz w:val="20"/>
                <w:lang w:val="en-GB"/>
              </w:rPr>
            </w:pPr>
          </w:p>
        </w:tc>
        <w:tc>
          <w:tcPr>
            <w:tcW w:w="130" w:type="dxa"/>
            <w:vAlign w:val="center"/>
            <w:hideMark/>
          </w:tcPr>
          <w:p w14:paraId="6D48FE0D"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24473628"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5AF552B4"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Verdana" w:hAnsi="Verdana"/>
                <w:lang w:val="en-GB"/>
              </w:rPr>
              <w:t> </w:t>
            </w:r>
            <w:hyperlink r:id="rId22" w:history="1"/>
          </w:p>
        </w:tc>
      </w:tr>
    </w:tbl>
    <w:p w14:paraId="19E6BC83" w14:textId="77777777" w:rsidR="00197D07" w:rsidRPr="00FF50A9" w:rsidRDefault="00197D07" w:rsidP="00020BCA">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3" w:history="1">
        <w:r w:rsidRPr="00FF50A9">
          <w:rPr>
            <w:rStyle w:val="Hipervnculo"/>
            <w:rFonts w:cs="Arial"/>
            <w:i/>
            <w:sz w:val="16"/>
            <w:szCs w:val="16"/>
            <w:lang w:val="en-GB"/>
          </w:rPr>
          <w:t>www.CASEce.com</w:t>
        </w:r>
      </w:hyperlink>
      <w:r w:rsidRPr="00FF50A9">
        <w:rPr>
          <w:rFonts w:cs="Arial"/>
          <w:i/>
          <w:sz w:val="16"/>
          <w:szCs w:val="16"/>
          <w:lang w:val="en-GB"/>
        </w:rPr>
        <w:t>.</w:t>
      </w:r>
    </w:p>
    <w:p w14:paraId="43DAA2F0" w14:textId="456E4B4C" w:rsidR="00197D07" w:rsidRDefault="00197D07" w:rsidP="00020BCA">
      <w:pPr>
        <w:jc w:val="both"/>
        <w:rPr>
          <w:rStyle w:val="Hipervnculo"/>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Italiana (MI: CNHI). More information about CNH Industrial can be found online at </w:t>
      </w:r>
      <w:r w:rsidR="009420C7" w:rsidRPr="009420C7">
        <w:rPr>
          <w:rFonts w:cs="Arial"/>
          <w:i/>
          <w:sz w:val="16"/>
          <w:szCs w:val="16"/>
          <w:lang w:val="en-GB"/>
        </w:rPr>
        <w:t>www.cnhindustrial.com</w:t>
      </w:r>
      <w:r w:rsidRPr="00FF50A9">
        <w:rPr>
          <w:rStyle w:val="Hipervnculo"/>
          <w:lang w:val="en-GB"/>
        </w:rPr>
        <w:t>.</w:t>
      </w:r>
    </w:p>
    <w:p w14:paraId="2B8C8BDE" w14:textId="77777777" w:rsidR="009420C7" w:rsidRPr="00FF50A9" w:rsidRDefault="009420C7" w:rsidP="00020BCA">
      <w:pPr>
        <w:jc w:val="both"/>
        <w:rPr>
          <w:rFonts w:cs="Arial"/>
          <w:i/>
          <w:sz w:val="16"/>
          <w:szCs w:val="16"/>
          <w:lang w:val="en-GB"/>
        </w:rPr>
      </w:pPr>
    </w:p>
    <w:p w14:paraId="35A9B79E" w14:textId="77777777" w:rsidR="00020BCA" w:rsidRDefault="00020BCA" w:rsidP="00020BCA">
      <w:pPr>
        <w:rPr>
          <w:b/>
          <w:lang w:val="en-GB"/>
        </w:rPr>
      </w:pPr>
    </w:p>
    <w:p w14:paraId="4AF5E77D" w14:textId="77777777" w:rsidR="00197D07" w:rsidRPr="00FF50A9" w:rsidRDefault="008F535F" w:rsidP="00020BCA">
      <w:pPr>
        <w:rPr>
          <w:b/>
          <w:lang w:val="en-GB"/>
        </w:rPr>
      </w:pPr>
      <w:r>
        <w:rPr>
          <w:b/>
          <w:lang w:val="en-GB"/>
        </w:rPr>
        <w:t>F</w:t>
      </w:r>
      <w:r w:rsidR="00197D07" w:rsidRPr="00FF50A9">
        <w:rPr>
          <w:b/>
          <w:lang w:val="en-GB"/>
        </w:rPr>
        <w:t>or more information contact:</w:t>
      </w:r>
    </w:p>
    <w:p w14:paraId="56BE7E00" w14:textId="77777777" w:rsidR="00020BCA" w:rsidRDefault="00020BCA" w:rsidP="00020BCA">
      <w:pPr>
        <w:jc w:val="both"/>
        <w:rPr>
          <w:sz w:val="18"/>
          <w:szCs w:val="18"/>
          <w:lang w:val="en-GB"/>
        </w:rPr>
      </w:pPr>
    </w:p>
    <w:p w14:paraId="64F4ACCD" w14:textId="77777777" w:rsidR="00197D07" w:rsidRPr="00FF50A9" w:rsidRDefault="00197D07" w:rsidP="00020BCA">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19961668" w14:textId="77777777" w:rsidR="00020BCA" w:rsidRPr="000017A4" w:rsidRDefault="00020BCA" w:rsidP="00020BCA">
      <w:pPr>
        <w:pStyle w:val="01TESTO"/>
        <w:jc w:val="both"/>
        <w:rPr>
          <w:sz w:val="18"/>
          <w:szCs w:val="18"/>
          <w:lang w:val="en-GB"/>
        </w:rPr>
      </w:pPr>
    </w:p>
    <w:p w14:paraId="2DE656C5" w14:textId="77777777" w:rsidR="00197D07" w:rsidRPr="001951A2" w:rsidRDefault="00197D07" w:rsidP="00020BCA">
      <w:pPr>
        <w:pStyle w:val="01TESTO"/>
        <w:jc w:val="both"/>
        <w:rPr>
          <w:sz w:val="18"/>
          <w:szCs w:val="18"/>
          <w:lang w:val="fr-FR"/>
        </w:rPr>
      </w:pPr>
      <w:r w:rsidRPr="001951A2">
        <w:rPr>
          <w:sz w:val="18"/>
          <w:szCs w:val="18"/>
          <w:lang w:val="fr-FR"/>
        </w:rPr>
        <w:t>Tel: +44 (0) 1704 566354</w:t>
      </w:r>
    </w:p>
    <w:p w14:paraId="789B85E0" w14:textId="77777777" w:rsidR="00020BCA" w:rsidRDefault="00020BCA" w:rsidP="00020BCA">
      <w:pPr>
        <w:pStyle w:val="01TESTO"/>
        <w:jc w:val="both"/>
        <w:rPr>
          <w:sz w:val="18"/>
          <w:szCs w:val="18"/>
          <w:lang w:val="fr-FR"/>
        </w:rPr>
      </w:pPr>
    </w:p>
    <w:p w14:paraId="217309DD" w14:textId="27A9F04A" w:rsidR="000A4F6A" w:rsidRPr="001951A2" w:rsidRDefault="00197D07" w:rsidP="00BF7039">
      <w:pPr>
        <w:pStyle w:val="01TESTO"/>
        <w:jc w:val="both"/>
        <w:rPr>
          <w:rFonts w:cs="Arial"/>
          <w:szCs w:val="19"/>
          <w:lang w:val="fr-FR"/>
        </w:rPr>
      </w:pPr>
      <w:r w:rsidRPr="001951A2">
        <w:rPr>
          <w:sz w:val="18"/>
          <w:szCs w:val="18"/>
          <w:lang w:val="fr-FR"/>
        </w:rPr>
        <w:t xml:space="preserve">Email: </w:t>
      </w:r>
      <w:hyperlink r:id="rId24" w:tooltip="mailto:lynn@tlcpr.co.uk" w:history="1">
        <w:r w:rsidRPr="001951A2">
          <w:rPr>
            <w:rStyle w:val="Hipervnculo"/>
            <w:sz w:val="18"/>
            <w:szCs w:val="18"/>
            <w:lang w:val="fr-FR"/>
          </w:rPr>
          <w:t>lynn@tlcpr.co.uk</w:t>
        </w:r>
      </w:hyperlink>
    </w:p>
    <w:sectPr w:rsidR="000A4F6A" w:rsidRPr="001951A2"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5C377" w15:done="0"/>
  <w15:commentEx w15:paraId="2CDEF010" w15:done="0"/>
  <w15:commentEx w15:paraId="520750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3B65" w14:textId="77777777" w:rsidR="00975ACB" w:rsidRDefault="00975ACB">
      <w:pPr>
        <w:spacing w:line="240" w:lineRule="auto"/>
      </w:pPr>
      <w:r>
        <w:separator/>
      </w:r>
    </w:p>
  </w:endnote>
  <w:endnote w:type="continuationSeparator" w:id="0">
    <w:p w14:paraId="5AF804D1" w14:textId="77777777" w:rsidR="00975ACB" w:rsidRDefault="00975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Lucida Sans"/>
    <w:charset w:val="00"/>
    <w:family w:val="auto"/>
    <w:pitch w:val="variable"/>
    <w:sig w:usb0="20002A0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HelveticaNeueLTStd-Cn">
    <w:panose1 w:val="00000000000000000000"/>
    <w:charset w:val="00"/>
    <w:family w:val="swiss"/>
    <w:notTrueType/>
    <w:pitch w:val="default"/>
    <w:sig w:usb0="00000003" w:usb1="00000000" w:usb2="00000000" w:usb3="00000000" w:csb0="00000001" w:csb1="00000000"/>
  </w:font>
  <w:font w:name="HelveticaNeueLTStd-BdCn">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8D7B" w14:textId="77777777" w:rsidR="004230B1" w:rsidRDefault="004230B1" w:rsidP="00D01F1C">
    <w:pPr>
      <w:pStyle w:val="Piedepgina"/>
    </w:pPr>
  </w:p>
  <w:p w14:paraId="063497A1" w14:textId="77777777" w:rsidR="004230B1" w:rsidRDefault="004230B1" w:rsidP="00D01F1C">
    <w:pPr>
      <w:pStyle w:val="Piedepgina"/>
    </w:pPr>
  </w:p>
  <w:p w14:paraId="2AA9BD34" w14:textId="77777777" w:rsidR="004230B1" w:rsidRDefault="004230B1" w:rsidP="00D01F1C">
    <w:pPr>
      <w:pStyle w:val="Piedepgina"/>
    </w:pPr>
  </w:p>
  <w:p w14:paraId="4CCC32D4" w14:textId="77777777"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2467" w14:textId="77777777"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A545" w14:textId="77777777" w:rsidR="00975ACB" w:rsidRDefault="00975ACB">
      <w:pPr>
        <w:spacing w:line="240" w:lineRule="auto"/>
      </w:pPr>
      <w:r>
        <w:separator/>
      </w:r>
    </w:p>
  </w:footnote>
  <w:footnote w:type="continuationSeparator" w:id="0">
    <w:p w14:paraId="5BAD31A4" w14:textId="77777777" w:rsidR="00975ACB" w:rsidRDefault="00975A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E62A" w14:textId="77777777" w:rsidR="004230B1" w:rsidRDefault="004230B1" w:rsidP="00D01F1C">
    <w:r>
      <w:rPr>
        <w:noProof/>
        <w:lang w:val="en-GB" w:eastAsia="en-GB"/>
      </w:rPr>
      <w:drawing>
        <wp:anchor distT="0" distB="0" distL="114300" distR="114300" simplePos="0" relativeHeight="251659776" behindDoc="1" locked="0" layoutInCell="1" allowOverlap="1" wp14:anchorId="3895E3C9" wp14:editId="69506EF5">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4DBD9E25" wp14:editId="7E68D5EB">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87C8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14:paraId="484A4B96" w14:textId="77777777">
      <w:trPr>
        <w:trHeight w:val="735"/>
      </w:trPr>
      <w:tc>
        <w:tcPr>
          <w:tcW w:w="2614" w:type="dxa"/>
          <w:shd w:val="clear" w:color="auto" w:fill="auto"/>
          <w:vAlign w:val="bottom"/>
        </w:tcPr>
        <w:p w14:paraId="786724F2" w14:textId="77777777" w:rsidR="004230B1" w:rsidRPr="00750ACB" w:rsidRDefault="004230B1" w:rsidP="00D01F1C">
          <w:pPr>
            <w:pStyle w:val="04FOOTER"/>
            <w:ind w:right="-101"/>
            <w:rPr>
              <w:sz w:val="14"/>
              <w:highlight w:val="yellow"/>
              <w:lang w:val="en-US"/>
            </w:rPr>
          </w:pPr>
        </w:p>
      </w:tc>
      <w:tc>
        <w:tcPr>
          <w:tcW w:w="2835" w:type="dxa"/>
          <w:vAlign w:val="bottom"/>
        </w:tcPr>
        <w:p w14:paraId="28015F76" w14:textId="77777777" w:rsidR="004230B1" w:rsidRPr="00750ACB" w:rsidRDefault="004230B1" w:rsidP="00D01F1C">
          <w:pPr>
            <w:pStyle w:val="04FOOTER"/>
            <w:ind w:right="-101"/>
            <w:rPr>
              <w:sz w:val="14"/>
              <w:highlight w:val="yellow"/>
            </w:rPr>
          </w:pPr>
        </w:p>
      </w:tc>
      <w:tc>
        <w:tcPr>
          <w:tcW w:w="3360" w:type="dxa"/>
          <w:shd w:val="clear" w:color="auto" w:fill="auto"/>
          <w:vAlign w:val="bottom"/>
        </w:tcPr>
        <w:p w14:paraId="57B7FBF8" w14:textId="77777777" w:rsidR="004230B1" w:rsidRPr="00750ACB" w:rsidRDefault="004230B1" w:rsidP="00D01F1C">
          <w:pPr>
            <w:pStyle w:val="04FOOTER"/>
            <w:ind w:right="-101"/>
            <w:rPr>
              <w:sz w:val="14"/>
              <w:highlight w:val="yellow"/>
            </w:rPr>
          </w:pPr>
        </w:p>
      </w:tc>
    </w:tr>
  </w:tbl>
  <w:p w14:paraId="654281F2" w14:textId="77777777"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14:paraId="237B04FB" w14:textId="77777777">
      <w:trPr>
        <w:trHeight w:val="5211"/>
      </w:trPr>
      <w:tc>
        <w:tcPr>
          <w:tcW w:w="606" w:type="dxa"/>
          <w:shd w:val="clear" w:color="auto" w:fill="auto"/>
          <w:vAlign w:val="bottom"/>
        </w:tcPr>
        <w:p w14:paraId="4380138E" w14:textId="77777777" w:rsidR="004230B1" w:rsidRDefault="004230B1" w:rsidP="00D01F1C">
          <w:pPr>
            <w:pStyle w:val="01TESTO"/>
          </w:pPr>
          <w:r>
            <w:rPr>
              <w:noProof/>
              <w:lang w:val="en-GB" w:eastAsia="en-GB"/>
            </w:rPr>
            <w:drawing>
              <wp:anchor distT="0" distB="0" distL="114300" distR="114300" simplePos="0" relativeHeight="251660800" behindDoc="1" locked="0" layoutInCell="1" allowOverlap="1" wp14:anchorId="16E38877" wp14:editId="31F70CE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7AD538" w14:textId="77777777" w:rsidR="004230B1" w:rsidRDefault="004230B1" w:rsidP="00D01F1C">
    <w:r>
      <w:rPr>
        <w:noProof/>
        <w:lang w:val="en-GB" w:eastAsia="en-GB"/>
      </w:rPr>
      <w:drawing>
        <wp:anchor distT="0" distB="0" distL="114300" distR="114300" simplePos="0" relativeHeight="251657728" behindDoc="1" locked="0" layoutInCell="1" allowOverlap="1" wp14:anchorId="6DB5F0CC" wp14:editId="77E3B2E0">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75522373" wp14:editId="6B26D827">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4C3F473B" wp14:editId="329C6E0A">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516F7"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63633AD" wp14:editId="5869369C">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CFDFD"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432BE"/>
    <w:multiLevelType w:val="hybridMultilevel"/>
    <w:tmpl w:val="DF8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Campbell">
    <w15:presenceInfo w15:providerId="AD" w15:userId="S-1-5-21-828870962-647631292-2573791452-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17A4"/>
    <w:rsid w:val="00005839"/>
    <w:rsid w:val="000120A1"/>
    <w:rsid w:val="0001433C"/>
    <w:rsid w:val="0001567C"/>
    <w:rsid w:val="00017072"/>
    <w:rsid w:val="00020BCA"/>
    <w:rsid w:val="00021EE3"/>
    <w:rsid w:val="000222F2"/>
    <w:rsid w:val="000239ED"/>
    <w:rsid w:val="00024426"/>
    <w:rsid w:val="0003097B"/>
    <w:rsid w:val="0003270D"/>
    <w:rsid w:val="0003536F"/>
    <w:rsid w:val="00036197"/>
    <w:rsid w:val="0004651C"/>
    <w:rsid w:val="00047C96"/>
    <w:rsid w:val="00060289"/>
    <w:rsid w:val="00060E32"/>
    <w:rsid w:val="00065412"/>
    <w:rsid w:val="000674FB"/>
    <w:rsid w:val="00070004"/>
    <w:rsid w:val="0008171E"/>
    <w:rsid w:val="000849DF"/>
    <w:rsid w:val="00084B1F"/>
    <w:rsid w:val="00084D26"/>
    <w:rsid w:val="0009610F"/>
    <w:rsid w:val="000A421A"/>
    <w:rsid w:val="000A4F6A"/>
    <w:rsid w:val="000B02FD"/>
    <w:rsid w:val="000B6CF5"/>
    <w:rsid w:val="000B7D75"/>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64"/>
    <w:rsid w:val="0013796A"/>
    <w:rsid w:val="00156BEB"/>
    <w:rsid w:val="001572D7"/>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1B53"/>
    <w:rsid w:val="001B5634"/>
    <w:rsid w:val="001C3014"/>
    <w:rsid w:val="001C7F3E"/>
    <w:rsid w:val="001D08A3"/>
    <w:rsid w:val="001D1C29"/>
    <w:rsid w:val="001D3518"/>
    <w:rsid w:val="001E3531"/>
    <w:rsid w:val="001F0F41"/>
    <w:rsid w:val="0020510B"/>
    <w:rsid w:val="00221028"/>
    <w:rsid w:val="002248FC"/>
    <w:rsid w:val="00224C79"/>
    <w:rsid w:val="00225E0B"/>
    <w:rsid w:val="002272D1"/>
    <w:rsid w:val="00232141"/>
    <w:rsid w:val="00237128"/>
    <w:rsid w:val="0024223A"/>
    <w:rsid w:val="00242800"/>
    <w:rsid w:val="0025333B"/>
    <w:rsid w:val="00263776"/>
    <w:rsid w:val="00265AC1"/>
    <w:rsid w:val="00271B83"/>
    <w:rsid w:val="00273BE8"/>
    <w:rsid w:val="00282A60"/>
    <w:rsid w:val="00283150"/>
    <w:rsid w:val="002866E6"/>
    <w:rsid w:val="00287362"/>
    <w:rsid w:val="00293CEA"/>
    <w:rsid w:val="00295AAD"/>
    <w:rsid w:val="00295F5B"/>
    <w:rsid w:val="00296740"/>
    <w:rsid w:val="002A0272"/>
    <w:rsid w:val="002A0A55"/>
    <w:rsid w:val="002A0D85"/>
    <w:rsid w:val="002A3054"/>
    <w:rsid w:val="002A6C54"/>
    <w:rsid w:val="002A6DB7"/>
    <w:rsid w:val="002B0D45"/>
    <w:rsid w:val="002B4B2A"/>
    <w:rsid w:val="002B5341"/>
    <w:rsid w:val="002C4C02"/>
    <w:rsid w:val="002E0413"/>
    <w:rsid w:val="002E42D8"/>
    <w:rsid w:val="002F6342"/>
    <w:rsid w:val="002F7342"/>
    <w:rsid w:val="002F74C3"/>
    <w:rsid w:val="00304652"/>
    <w:rsid w:val="003216EB"/>
    <w:rsid w:val="0032344E"/>
    <w:rsid w:val="00325CA3"/>
    <w:rsid w:val="003274B1"/>
    <w:rsid w:val="00330590"/>
    <w:rsid w:val="00336C6F"/>
    <w:rsid w:val="00355548"/>
    <w:rsid w:val="00355A9D"/>
    <w:rsid w:val="003577EC"/>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6440"/>
    <w:rsid w:val="003B66D3"/>
    <w:rsid w:val="003B68E3"/>
    <w:rsid w:val="003C1713"/>
    <w:rsid w:val="003C1A58"/>
    <w:rsid w:val="003C2E46"/>
    <w:rsid w:val="003C4F6A"/>
    <w:rsid w:val="003D21A6"/>
    <w:rsid w:val="003D224E"/>
    <w:rsid w:val="003D4B8A"/>
    <w:rsid w:val="003E30F0"/>
    <w:rsid w:val="003E6488"/>
    <w:rsid w:val="003E69C1"/>
    <w:rsid w:val="003F2938"/>
    <w:rsid w:val="003F2BAE"/>
    <w:rsid w:val="003F3969"/>
    <w:rsid w:val="004002EB"/>
    <w:rsid w:val="00410435"/>
    <w:rsid w:val="004149A9"/>
    <w:rsid w:val="00421B87"/>
    <w:rsid w:val="004230B1"/>
    <w:rsid w:val="0042385C"/>
    <w:rsid w:val="00426608"/>
    <w:rsid w:val="00432D77"/>
    <w:rsid w:val="0043406A"/>
    <w:rsid w:val="00435506"/>
    <w:rsid w:val="00453C3D"/>
    <w:rsid w:val="004543CA"/>
    <w:rsid w:val="00461F89"/>
    <w:rsid w:val="0046276A"/>
    <w:rsid w:val="004627BF"/>
    <w:rsid w:val="004632B1"/>
    <w:rsid w:val="00463600"/>
    <w:rsid w:val="00463B08"/>
    <w:rsid w:val="0046565A"/>
    <w:rsid w:val="00467BD4"/>
    <w:rsid w:val="00473E67"/>
    <w:rsid w:val="00474ED5"/>
    <w:rsid w:val="00477548"/>
    <w:rsid w:val="00482681"/>
    <w:rsid w:val="00483474"/>
    <w:rsid w:val="0048550D"/>
    <w:rsid w:val="00485B81"/>
    <w:rsid w:val="00491B25"/>
    <w:rsid w:val="004925F9"/>
    <w:rsid w:val="00493824"/>
    <w:rsid w:val="00495277"/>
    <w:rsid w:val="00496DE7"/>
    <w:rsid w:val="004A69F7"/>
    <w:rsid w:val="004B792F"/>
    <w:rsid w:val="004C1A8A"/>
    <w:rsid w:val="004C2ABA"/>
    <w:rsid w:val="004C7C83"/>
    <w:rsid w:val="004D0018"/>
    <w:rsid w:val="004D3025"/>
    <w:rsid w:val="004E27F6"/>
    <w:rsid w:val="004E4796"/>
    <w:rsid w:val="004E5104"/>
    <w:rsid w:val="004F363E"/>
    <w:rsid w:val="004F7034"/>
    <w:rsid w:val="004F791E"/>
    <w:rsid w:val="00500EE0"/>
    <w:rsid w:val="00503C5F"/>
    <w:rsid w:val="00510635"/>
    <w:rsid w:val="00513464"/>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19E"/>
    <w:rsid w:val="00595532"/>
    <w:rsid w:val="0059734F"/>
    <w:rsid w:val="005A5028"/>
    <w:rsid w:val="005A6C8C"/>
    <w:rsid w:val="005A6EAB"/>
    <w:rsid w:val="005A73A9"/>
    <w:rsid w:val="005B0434"/>
    <w:rsid w:val="005B06CD"/>
    <w:rsid w:val="005B0E4C"/>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2F"/>
    <w:rsid w:val="006835F8"/>
    <w:rsid w:val="006844E7"/>
    <w:rsid w:val="006869DA"/>
    <w:rsid w:val="00687FC8"/>
    <w:rsid w:val="0069041B"/>
    <w:rsid w:val="0069054B"/>
    <w:rsid w:val="006963E9"/>
    <w:rsid w:val="00697577"/>
    <w:rsid w:val="006A27EA"/>
    <w:rsid w:val="006B6661"/>
    <w:rsid w:val="006B6D79"/>
    <w:rsid w:val="006C1B2A"/>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52F5C"/>
    <w:rsid w:val="00756160"/>
    <w:rsid w:val="0075642A"/>
    <w:rsid w:val="00757B78"/>
    <w:rsid w:val="00761C00"/>
    <w:rsid w:val="0076781F"/>
    <w:rsid w:val="0077205D"/>
    <w:rsid w:val="007812B4"/>
    <w:rsid w:val="00784D02"/>
    <w:rsid w:val="00792C47"/>
    <w:rsid w:val="007A18B5"/>
    <w:rsid w:val="007B3B4C"/>
    <w:rsid w:val="007C2782"/>
    <w:rsid w:val="007C3390"/>
    <w:rsid w:val="007C3DBB"/>
    <w:rsid w:val="007C4170"/>
    <w:rsid w:val="007C62AF"/>
    <w:rsid w:val="007C7733"/>
    <w:rsid w:val="007D04F6"/>
    <w:rsid w:val="007D0F92"/>
    <w:rsid w:val="007D39AD"/>
    <w:rsid w:val="007D3F44"/>
    <w:rsid w:val="007E1AD8"/>
    <w:rsid w:val="007E6E58"/>
    <w:rsid w:val="007E6FAD"/>
    <w:rsid w:val="007F078C"/>
    <w:rsid w:val="007F2101"/>
    <w:rsid w:val="007F572A"/>
    <w:rsid w:val="008062BC"/>
    <w:rsid w:val="00817EB8"/>
    <w:rsid w:val="008222D0"/>
    <w:rsid w:val="008260F1"/>
    <w:rsid w:val="008327F4"/>
    <w:rsid w:val="00835F22"/>
    <w:rsid w:val="008412DC"/>
    <w:rsid w:val="008416ED"/>
    <w:rsid w:val="008418A7"/>
    <w:rsid w:val="00841D2D"/>
    <w:rsid w:val="008430E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2696"/>
    <w:rsid w:val="0089670D"/>
    <w:rsid w:val="008A14E0"/>
    <w:rsid w:val="008A49B2"/>
    <w:rsid w:val="008B1E9C"/>
    <w:rsid w:val="008B2224"/>
    <w:rsid w:val="008B33A6"/>
    <w:rsid w:val="008B4C8B"/>
    <w:rsid w:val="008B608C"/>
    <w:rsid w:val="008C383A"/>
    <w:rsid w:val="008C5AAC"/>
    <w:rsid w:val="008D0B2D"/>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22012"/>
    <w:rsid w:val="0092405C"/>
    <w:rsid w:val="009354AA"/>
    <w:rsid w:val="0093575E"/>
    <w:rsid w:val="00936668"/>
    <w:rsid w:val="00941BBA"/>
    <w:rsid w:val="009420C7"/>
    <w:rsid w:val="0094780E"/>
    <w:rsid w:val="00953A99"/>
    <w:rsid w:val="0095766B"/>
    <w:rsid w:val="00975565"/>
    <w:rsid w:val="00975ACB"/>
    <w:rsid w:val="00977FE9"/>
    <w:rsid w:val="009813A6"/>
    <w:rsid w:val="009840E2"/>
    <w:rsid w:val="00985182"/>
    <w:rsid w:val="00986747"/>
    <w:rsid w:val="00986929"/>
    <w:rsid w:val="00987EE9"/>
    <w:rsid w:val="009972D5"/>
    <w:rsid w:val="0099762C"/>
    <w:rsid w:val="009A09AF"/>
    <w:rsid w:val="009A2480"/>
    <w:rsid w:val="009A3617"/>
    <w:rsid w:val="009A393F"/>
    <w:rsid w:val="009B5790"/>
    <w:rsid w:val="009C0E16"/>
    <w:rsid w:val="009C4DE7"/>
    <w:rsid w:val="009C5112"/>
    <w:rsid w:val="009E2F65"/>
    <w:rsid w:val="009E56DA"/>
    <w:rsid w:val="009F0C32"/>
    <w:rsid w:val="009F4E16"/>
    <w:rsid w:val="009F6697"/>
    <w:rsid w:val="00A02C2E"/>
    <w:rsid w:val="00A0356F"/>
    <w:rsid w:val="00A03D17"/>
    <w:rsid w:val="00A03FB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A52E9"/>
    <w:rsid w:val="00AA71FC"/>
    <w:rsid w:val="00AA74C6"/>
    <w:rsid w:val="00AB4202"/>
    <w:rsid w:val="00AB749A"/>
    <w:rsid w:val="00AC593E"/>
    <w:rsid w:val="00AC59F7"/>
    <w:rsid w:val="00AD1660"/>
    <w:rsid w:val="00AD1B64"/>
    <w:rsid w:val="00AD4824"/>
    <w:rsid w:val="00AD58F5"/>
    <w:rsid w:val="00AD6A8E"/>
    <w:rsid w:val="00AD6CE6"/>
    <w:rsid w:val="00AF4801"/>
    <w:rsid w:val="00B01CBB"/>
    <w:rsid w:val="00B10886"/>
    <w:rsid w:val="00B1137C"/>
    <w:rsid w:val="00B11CAA"/>
    <w:rsid w:val="00B249D8"/>
    <w:rsid w:val="00B26E62"/>
    <w:rsid w:val="00B303C6"/>
    <w:rsid w:val="00B314DB"/>
    <w:rsid w:val="00B32720"/>
    <w:rsid w:val="00B32BE8"/>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5252"/>
    <w:rsid w:val="00B86EA9"/>
    <w:rsid w:val="00B90140"/>
    <w:rsid w:val="00B964BE"/>
    <w:rsid w:val="00B96711"/>
    <w:rsid w:val="00BA4EA6"/>
    <w:rsid w:val="00BA6862"/>
    <w:rsid w:val="00BC3615"/>
    <w:rsid w:val="00BE11D8"/>
    <w:rsid w:val="00BE2B83"/>
    <w:rsid w:val="00BF00F8"/>
    <w:rsid w:val="00BF40B2"/>
    <w:rsid w:val="00BF5403"/>
    <w:rsid w:val="00BF7039"/>
    <w:rsid w:val="00C00DD7"/>
    <w:rsid w:val="00C07699"/>
    <w:rsid w:val="00C15592"/>
    <w:rsid w:val="00C269C3"/>
    <w:rsid w:val="00C30F70"/>
    <w:rsid w:val="00C32402"/>
    <w:rsid w:val="00C41FA8"/>
    <w:rsid w:val="00C436BD"/>
    <w:rsid w:val="00C4419C"/>
    <w:rsid w:val="00C55837"/>
    <w:rsid w:val="00C5701D"/>
    <w:rsid w:val="00C63D71"/>
    <w:rsid w:val="00C70E26"/>
    <w:rsid w:val="00C7139F"/>
    <w:rsid w:val="00C71BAE"/>
    <w:rsid w:val="00C72D0A"/>
    <w:rsid w:val="00C77355"/>
    <w:rsid w:val="00C77D34"/>
    <w:rsid w:val="00C85ECD"/>
    <w:rsid w:val="00C91D8A"/>
    <w:rsid w:val="00C9238C"/>
    <w:rsid w:val="00CA5F8E"/>
    <w:rsid w:val="00CA6D8C"/>
    <w:rsid w:val="00CA735C"/>
    <w:rsid w:val="00CA7C0B"/>
    <w:rsid w:val="00CB4423"/>
    <w:rsid w:val="00CB54F7"/>
    <w:rsid w:val="00CC10B5"/>
    <w:rsid w:val="00CC29B6"/>
    <w:rsid w:val="00CC336A"/>
    <w:rsid w:val="00CD0140"/>
    <w:rsid w:val="00CD4B4A"/>
    <w:rsid w:val="00CE29FA"/>
    <w:rsid w:val="00CE43D4"/>
    <w:rsid w:val="00CF072C"/>
    <w:rsid w:val="00CF0C4D"/>
    <w:rsid w:val="00CF46E3"/>
    <w:rsid w:val="00CF5319"/>
    <w:rsid w:val="00D017EF"/>
    <w:rsid w:val="00D01F1C"/>
    <w:rsid w:val="00D067C0"/>
    <w:rsid w:val="00D1162B"/>
    <w:rsid w:val="00D12FE5"/>
    <w:rsid w:val="00D13813"/>
    <w:rsid w:val="00D15A2A"/>
    <w:rsid w:val="00D249FC"/>
    <w:rsid w:val="00D276A6"/>
    <w:rsid w:val="00D3457C"/>
    <w:rsid w:val="00D446D2"/>
    <w:rsid w:val="00D45362"/>
    <w:rsid w:val="00D47AE4"/>
    <w:rsid w:val="00D5394C"/>
    <w:rsid w:val="00D544A5"/>
    <w:rsid w:val="00D612C4"/>
    <w:rsid w:val="00D63E9D"/>
    <w:rsid w:val="00D63F55"/>
    <w:rsid w:val="00D64A4B"/>
    <w:rsid w:val="00D7011E"/>
    <w:rsid w:val="00D718C9"/>
    <w:rsid w:val="00D722E2"/>
    <w:rsid w:val="00D73CFA"/>
    <w:rsid w:val="00D748F6"/>
    <w:rsid w:val="00D7746D"/>
    <w:rsid w:val="00D82FE1"/>
    <w:rsid w:val="00D86B46"/>
    <w:rsid w:val="00D9584B"/>
    <w:rsid w:val="00DA3AB9"/>
    <w:rsid w:val="00DB4DA6"/>
    <w:rsid w:val="00DB6E02"/>
    <w:rsid w:val="00DC1F91"/>
    <w:rsid w:val="00DC4A12"/>
    <w:rsid w:val="00DD1372"/>
    <w:rsid w:val="00DD352A"/>
    <w:rsid w:val="00DD61FF"/>
    <w:rsid w:val="00DD745C"/>
    <w:rsid w:val="00DD7C58"/>
    <w:rsid w:val="00DF2F26"/>
    <w:rsid w:val="00DF6A14"/>
    <w:rsid w:val="00E02ECC"/>
    <w:rsid w:val="00E054C7"/>
    <w:rsid w:val="00E1046A"/>
    <w:rsid w:val="00E11F0A"/>
    <w:rsid w:val="00E14831"/>
    <w:rsid w:val="00E153C8"/>
    <w:rsid w:val="00E23075"/>
    <w:rsid w:val="00E26958"/>
    <w:rsid w:val="00E26DB9"/>
    <w:rsid w:val="00E35473"/>
    <w:rsid w:val="00E37299"/>
    <w:rsid w:val="00E403B2"/>
    <w:rsid w:val="00E46D85"/>
    <w:rsid w:val="00E47C63"/>
    <w:rsid w:val="00E51B36"/>
    <w:rsid w:val="00E54BE4"/>
    <w:rsid w:val="00E552F4"/>
    <w:rsid w:val="00E563B1"/>
    <w:rsid w:val="00E56ED4"/>
    <w:rsid w:val="00E603F5"/>
    <w:rsid w:val="00E61DCC"/>
    <w:rsid w:val="00E61F1C"/>
    <w:rsid w:val="00E621AF"/>
    <w:rsid w:val="00E63AD4"/>
    <w:rsid w:val="00E72EEC"/>
    <w:rsid w:val="00E84A88"/>
    <w:rsid w:val="00E902C9"/>
    <w:rsid w:val="00E937D0"/>
    <w:rsid w:val="00E9717C"/>
    <w:rsid w:val="00EA2763"/>
    <w:rsid w:val="00EA7E68"/>
    <w:rsid w:val="00EC4604"/>
    <w:rsid w:val="00EC6C56"/>
    <w:rsid w:val="00EE5B0D"/>
    <w:rsid w:val="00EE7D68"/>
    <w:rsid w:val="00EF3E92"/>
    <w:rsid w:val="00F00799"/>
    <w:rsid w:val="00F02028"/>
    <w:rsid w:val="00F04CEF"/>
    <w:rsid w:val="00F06977"/>
    <w:rsid w:val="00F15042"/>
    <w:rsid w:val="00F1595E"/>
    <w:rsid w:val="00F213CD"/>
    <w:rsid w:val="00F3099C"/>
    <w:rsid w:val="00F3383B"/>
    <w:rsid w:val="00F34902"/>
    <w:rsid w:val="00F4331E"/>
    <w:rsid w:val="00F433E0"/>
    <w:rsid w:val="00F43A90"/>
    <w:rsid w:val="00F56D48"/>
    <w:rsid w:val="00F61410"/>
    <w:rsid w:val="00F62113"/>
    <w:rsid w:val="00F624CE"/>
    <w:rsid w:val="00F62F6F"/>
    <w:rsid w:val="00F6441E"/>
    <w:rsid w:val="00F6470F"/>
    <w:rsid w:val="00F648B8"/>
    <w:rsid w:val="00F70009"/>
    <w:rsid w:val="00F7068B"/>
    <w:rsid w:val="00F71AD9"/>
    <w:rsid w:val="00F76120"/>
    <w:rsid w:val="00F764A1"/>
    <w:rsid w:val="00F77DB9"/>
    <w:rsid w:val="00F8183D"/>
    <w:rsid w:val="00F81DB9"/>
    <w:rsid w:val="00F84460"/>
    <w:rsid w:val="00F85257"/>
    <w:rsid w:val="00FC278C"/>
    <w:rsid w:val="00FC43B0"/>
    <w:rsid w:val="00FC7335"/>
    <w:rsid w:val="00FD4FD0"/>
    <w:rsid w:val="00FE248E"/>
    <w:rsid w:val="00FF044C"/>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38761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02595994">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688222098">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40970206">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25518034">
      <w:bodyDiv w:val="1"/>
      <w:marLeft w:val="0"/>
      <w:marRight w:val="0"/>
      <w:marTop w:val="0"/>
      <w:marBottom w:val="0"/>
      <w:divBdr>
        <w:top w:val="none" w:sz="0" w:space="0" w:color="auto"/>
        <w:left w:val="none" w:sz="0" w:space="0" w:color="auto"/>
        <w:bottom w:val="none" w:sz="0" w:space="0" w:color="auto"/>
        <w:right w:val="none" w:sz="0" w:space="0" w:color="auto"/>
      </w:divBdr>
    </w:div>
    <w:div w:id="1747723792">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2252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cid:image004.gif@01D123A8.097F9890"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acebook.com/caseconstructionequipment.ukandroi" TargetMode="External"/><Relationship Id="rId24" Type="http://schemas.openxmlformats.org/officeDocument/2006/relationships/hyperlink" Target="mailto:lynn@tlcpr.co.uk" TargetMode="External"/><Relationship Id="rId5" Type="http://schemas.openxmlformats.org/officeDocument/2006/relationships/styles" Target="style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case-construction-equipmen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header" Target="header2.xml"/><Relationship Id="rId30" Type="http://schemas.openxmlformats.org/officeDocument/2006/relationships/theme" Target="theme/theme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76DE-F0FE-4802-946A-B15A000A55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9803DB-129C-44FD-B556-E7362504DD4A}"/>
</file>

<file path=customXml/itemProps3.xml><?xml version="1.0" encoding="utf-8"?>
<ds:datastoreItem xmlns:ds="http://schemas.openxmlformats.org/officeDocument/2006/customXml" ds:itemID="{6ECAF134-8743-423A-991F-8124FD02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1</TotalTime>
  <Pages>1</Pages>
  <Words>968</Words>
  <Characters>5519</Characters>
  <Application>Microsoft Office Word</Application>
  <DocSecurity>0</DocSecurity>
  <Lines>45</Lines>
  <Paragraphs>12</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6475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5</cp:revision>
  <cp:lastPrinted>2017-03-01T10:39:00Z</cp:lastPrinted>
  <dcterms:created xsi:type="dcterms:W3CDTF">2017-04-25T10:50:00Z</dcterms:created>
  <dcterms:modified xsi:type="dcterms:W3CDTF">2017-04-26T17:01:00Z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VG290,10/04/2017 18:28:58,GENERAL BUSINESS</vt:lpwstr>
  </property>
  <property fmtid="{D5CDD505-2E9C-101B-9397-08002B2CF9AE}" pid="8" name="CNH-Classification">
    <vt:lpwstr>[GENERAL BUSINESS]</vt:lpwstr>
  </property>
</Properties>
</file>