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1B751" w14:textId="77777777" w:rsidR="00FA4683" w:rsidRDefault="00DF428E" w:rsidP="002C50B1">
      <w:pPr>
        <w:jc w:val="center"/>
        <w:rPr>
          <w:rFonts w:ascii="Gill Sans MT" w:hAnsi="Gill Sans MT" w:cs="Arial"/>
          <w:b/>
          <w:bCs/>
          <w:lang w:val="de-DE"/>
        </w:rPr>
      </w:pPr>
      <w:bookmarkStart w:id="0" w:name="_Hlk527710660"/>
      <w:bookmarkStart w:id="1" w:name="_Hlk510438457"/>
      <w:r>
        <w:rPr>
          <w:rFonts w:ascii="Gill Sans MT" w:hAnsi="Gill Sans MT" w:cs="Arial"/>
          <w:b/>
          <w:bCs/>
          <w:lang w:val="de-DE"/>
        </w:rPr>
        <w:t>CASE kündigt die neue D-Serie der Minibagger mit 20 Modellen an</w:t>
      </w:r>
    </w:p>
    <w:p w14:paraId="73D269E0" w14:textId="77777777" w:rsidR="00FA4683" w:rsidRDefault="00DF428E" w:rsidP="002C50B1">
      <w:pPr>
        <w:jc w:val="center"/>
        <w:rPr>
          <w:rFonts w:ascii="Gill Sans MT" w:hAnsi="Gill Sans MT" w:cs="Arial"/>
          <w:bCs/>
          <w:lang w:val="de-DE"/>
        </w:rPr>
      </w:pPr>
      <w:r>
        <w:rPr>
          <w:rFonts w:ascii="Gill Sans MT" w:hAnsi="Gill Sans MT" w:cs="Arial"/>
          <w:bCs/>
          <w:lang w:val="de-DE"/>
        </w:rPr>
        <w:t>Die neuen Modelle zeichnen sich durch höchste Agilität und Vielseitigkeit aus.</w:t>
      </w:r>
    </w:p>
    <w:p w14:paraId="6A34B334" w14:textId="77777777" w:rsidR="00FA4683" w:rsidRDefault="00DF428E">
      <w:pPr>
        <w:rPr>
          <w:rFonts w:ascii="Gill Sans MT" w:hAnsi="Gill Sans MT" w:cs="Arial"/>
          <w:i/>
          <w:iCs/>
          <w:lang w:val="de-DE"/>
        </w:rPr>
      </w:pPr>
      <w:r>
        <w:rPr>
          <w:rFonts w:ascii="Gill Sans MT" w:hAnsi="Gill Sans MT" w:cs="Arial"/>
          <w:i/>
          <w:iCs/>
          <w:lang w:val="de-DE"/>
        </w:rPr>
        <w:t xml:space="preserve">Turin, 5. Mai 2022 </w:t>
      </w:r>
    </w:p>
    <w:p w14:paraId="02CBC369" w14:textId="77777777" w:rsidR="00FA4683" w:rsidRDefault="00DF428E">
      <w:pPr>
        <w:rPr>
          <w:rFonts w:ascii="Gill Sans MT" w:hAnsi="Gill Sans MT" w:cs="Arial"/>
          <w:lang w:val="de-DE"/>
        </w:rPr>
      </w:pPr>
      <w:r>
        <w:rPr>
          <w:rFonts w:ascii="Gill Sans MT" w:hAnsi="Gill Sans MT" w:cs="Arial"/>
          <w:lang w:val="de-DE"/>
        </w:rPr>
        <w:t>CASE Construction Equipment hat heute in Europa die neue Minibagger-Baureihe D vorgestellt, die 20 Modelle von 1 Tonne bis 6 Tonnen umfasst, darunter 2 Elektromodelle. Die neue D-Serie bietet ein komplettes Programm, das für jeden Kunde</w:t>
      </w:r>
      <w:r>
        <w:rPr>
          <w:rFonts w:ascii="Gill Sans MT" w:hAnsi="Gill Sans MT" w:cs="Arial"/>
          <w:lang w:val="de-DE"/>
        </w:rPr>
        <w:t>nbedarf eine Lösung bereithält, ist mit den neuesten Technologien, Funktionen und Anbaugeräten für alle Märkte und Anwendungen ausgestattet.</w:t>
      </w:r>
    </w:p>
    <w:p w14:paraId="5E144DBD" w14:textId="77777777" w:rsidR="00FA4683" w:rsidRDefault="00DF428E">
      <w:pPr>
        <w:rPr>
          <w:rFonts w:ascii="Gill Sans MT" w:hAnsi="Gill Sans MT" w:cs="Arial"/>
          <w:lang w:val="de-DE"/>
        </w:rPr>
      </w:pPr>
      <w:r>
        <w:rPr>
          <w:rFonts w:ascii="Gill Sans MT" w:hAnsi="Gill Sans MT" w:cs="Arial"/>
          <w:lang w:val="de-DE"/>
        </w:rPr>
        <w:t>Diese vielseitige und agile Modellreihe zeichnet sich durch besondere Wartungsfreundlichkeit und hohe Zuverlässigke</w:t>
      </w:r>
      <w:r>
        <w:rPr>
          <w:rFonts w:ascii="Gill Sans MT" w:hAnsi="Gill Sans MT" w:cs="Arial"/>
          <w:lang w:val="de-DE"/>
        </w:rPr>
        <w:t>it aus. Das bedeutet für den Kunden optimierte Einsatzzeiten, hohe Produktivität und maximale Rentabilität. Die in Europa angebotenen Minibagger der CASE D-Serie werden in Werken in Italien hergestellt und profitieren von den Synergien in Bezug auf Innovat</w:t>
      </w:r>
      <w:r>
        <w:rPr>
          <w:rFonts w:ascii="Gill Sans MT" w:hAnsi="Gill Sans MT" w:cs="Arial"/>
          <w:lang w:val="de-DE"/>
        </w:rPr>
        <w:t xml:space="preserve">ion, Technologie, Know-how und Produktionstechnik, die sich aus der Übernahme von Sampierana durch CNH Industrial im Jahr 2021 ergeben. </w:t>
      </w:r>
    </w:p>
    <w:p w14:paraId="4BF72726" w14:textId="77777777" w:rsidR="00FA4683" w:rsidRDefault="00DF428E">
      <w:pPr>
        <w:rPr>
          <w:rFonts w:ascii="Gill Sans MT" w:hAnsi="Gill Sans MT" w:cs="Arial"/>
          <w:lang w:val="de-DE"/>
        </w:rPr>
      </w:pPr>
      <w:r>
        <w:rPr>
          <w:rFonts w:ascii="Gill Sans MT" w:hAnsi="Gill Sans MT" w:cs="Arial"/>
          <w:lang w:val="de-DE"/>
        </w:rPr>
        <w:t>"Minibagger sind ein wachstumsstarkes Segment und machen fast die Hälfte des gesamten europäischen Maschinenabsatzes au</w:t>
      </w:r>
      <w:r>
        <w:rPr>
          <w:rFonts w:ascii="Gill Sans MT" w:hAnsi="Gill Sans MT" w:cs="Arial"/>
          <w:lang w:val="de-DE"/>
        </w:rPr>
        <w:t>s. CASE hat auf die Kundennachfrage mit einer vollständigen Palette von 20 D-Serie Minibaggern von ein bis sechs Tonnen reagiert. Darunter sind zwei Elektromodelle mit einem Einsatzgewicht von ein bis drei Tonnen", erklärt Egidio Galano, Direktor, Construc</w:t>
      </w:r>
      <w:r>
        <w:rPr>
          <w:rFonts w:ascii="Gill Sans MT" w:hAnsi="Gill Sans MT" w:cs="Arial"/>
          <w:lang w:val="de-DE"/>
        </w:rPr>
        <w:t>tion Equipment Product Management Europe, CNH Industrial. "Wir produzieren in Italien, um den gesamten europäischen Markt zu beliefern und wir sind stolz darauf, dort zu produzieren, wo wir verkaufen. Dank des europäischen Standortes können die ersten Masc</w:t>
      </w:r>
      <w:r>
        <w:rPr>
          <w:rFonts w:ascii="Gill Sans MT" w:hAnsi="Gill Sans MT" w:cs="Arial"/>
          <w:lang w:val="de-DE"/>
        </w:rPr>
        <w:t>hinen der D-Serie bereits ab dem dritten Quartal 2022 ausgeliefert werden und auf den Baustellen unserer Kunden zum Einsatz kommen.</w:t>
      </w:r>
    </w:p>
    <w:p w14:paraId="63A5C554" w14:textId="77777777" w:rsidR="00FA4683" w:rsidRDefault="00DF428E">
      <w:pPr>
        <w:rPr>
          <w:rFonts w:ascii="Gill Sans MT" w:hAnsi="Gill Sans MT" w:cs="Arial"/>
          <w:lang w:val="de-DE"/>
        </w:rPr>
      </w:pPr>
      <w:r>
        <w:rPr>
          <w:rFonts w:ascii="Gill Sans MT" w:hAnsi="Gill Sans MT" w:cs="Arial"/>
          <w:lang w:val="de-DE"/>
        </w:rPr>
        <w:t>Die beiden Elektromodelle, von denen das erste ab dem ersten Quartal 2023 erhältlich sein wird, sind für Kunden gedacht, die</w:t>
      </w:r>
      <w:r>
        <w:rPr>
          <w:rFonts w:ascii="Gill Sans MT" w:hAnsi="Gill Sans MT" w:cs="Arial"/>
          <w:lang w:val="de-DE"/>
        </w:rPr>
        <w:t xml:space="preserve"> auf Baustellen mit strengen Vorgaben im Emissions- und Lärmschutz arbeiten, beispielsweise in dichtbesiedelten Innenstädten.  </w:t>
      </w:r>
    </w:p>
    <w:p w14:paraId="69901043" w14:textId="77777777" w:rsidR="00FA4683" w:rsidRDefault="00DF428E">
      <w:pPr>
        <w:rPr>
          <w:rFonts w:ascii="Gill Sans MT" w:hAnsi="Gill Sans MT" w:cs="Arial"/>
          <w:b/>
          <w:bCs/>
          <w:lang w:val="de-DE"/>
        </w:rPr>
      </w:pPr>
      <w:r>
        <w:rPr>
          <w:rFonts w:ascii="Gill Sans MT" w:hAnsi="Gill Sans MT" w:cs="Arial"/>
          <w:b/>
          <w:bCs/>
          <w:lang w:val="de-DE"/>
        </w:rPr>
        <w:t xml:space="preserve">20 Modelle, die eine flexible und leistungsstarke Lösung für alle Kundenwünsche bieten </w:t>
      </w:r>
    </w:p>
    <w:p w14:paraId="56CCD7FE" w14:textId="77777777" w:rsidR="00FA4683" w:rsidRDefault="00DF428E">
      <w:pPr>
        <w:rPr>
          <w:rFonts w:ascii="Gill Sans MT" w:hAnsi="Gill Sans MT" w:cs="Arial"/>
          <w:lang w:val="de-DE"/>
        </w:rPr>
      </w:pPr>
      <w:r>
        <w:rPr>
          <w:rFonts w:ascii="Gill Sans MT" w:hAnsi="Gill Sans MT" w:cs="Arial"/>
          <w:lang w:val="de-DE"/>
        </w:rPr>
        <w:t>„Ein Hauptvorteil dieser umfangreichen P</w:t>
      </w:r>
      <w:r>
        <w:rPr>
          <w:rFonts w:ascii="Gill Sans MT" w:hAnsi="Gill Sans MT" w:cs="Arial"/>
          <w:lang w:val="de-DE"/>
        </w:rPr>
        <w:t>roduktpalette ist die Vielseitigkeit, die es uns ermöglicht, für jeden Kundenbedarf eine maßgeschneiderte Lösung zu finden. Wir bieten daher verschiedene Größen an, die Zugang zu schwer erreichbaren Baustellen erlauben oder um die Vorteile der großen Auswa</w:t>
      </w:r>
      <w:r>
        <w:rPr>
          <w:rFonts w:ascii="Gill Sans MT" w:hAnsi="Gill Sans MT" w:cs="Arial"/>
          <w:lang w:val="de-DE"/>
        </w:rPr>
        <w:t>hl an verschiedensten Anbaugeräten zu nutzen", so Galano weiter.</w:t>
      </w:r>
    </w:p>
    <w:p w14:paraId="0B871C92" w14:textId="77777777" w:rsidR="00FA4683" w:rsidRDefault="00DF428E">
      <w:pPr>
        <w:rPr>
          <w:rFonts w:ascii="Gill Sans MT" w:hAnsi="Gill Sans MT" w:cs="Arial"/>
          <w:lang w:val="de-DE"/>
        </w:rPr>
      </w:pPr>
      <w:r>
        <w:rPr>
          <w:rFonts w:ascii="Gill Sans MT" w:hAnsi="Gill Sans MT" w:cs="Arial"/>
          <w:lang w:val="de-DE"/>
        </w:rPr>
        <w:t>Er erklärt: „Die Modelle mit dem größten Nutzen und daher der größten Nachfrage in Europa liegen im Bereich von 1 bis 3 Tonnen und 5 bis 6 Tonnen. Wir haben allein 15 Modelle, die diesen Beda</w:t>
      </w:r>
      <w:r>
        <w:rPr>
          <w:rFonts w:ascii="Gill Sans MT" w:hAnsi="Gill Sans MT" w:cs="Arial"/>
          <w:lang w:val="de-DE"/>
        </w:rPr>
        <w:t xml:space="preserve">rf decken". </w:t>
      </w:r>
    </w:p>
    <w:p w14:paraId="595FB2BA" w14:textId="77777777" w:rsidR="00FA4683" w:rsidRDefault="00DF428E">
      <w:pPr>
        <w:rPr>
          <w:rFonts w:ascii="Gill Sans MT" w:hAnsi="Gill Sans MT" w:cs="Arial"/>
          <w:lang w:val="de-DE"/>
        </w:rPr>
      </w:pPr>
      <w:r>
        <w:rPr>
          <w:rFonts w:ascii="Gill Sans MT" w:hAnsi="Gill Sans MT" w:cs="Arial"/>
          <w:lang w:val="de-DE"/>
        </w:rPr>
        <w:t xml:space="preserve">Vielseitigkeit, Flexibilität und hohe Leistung sind grundlegende Merkmale der D-Serie. So sind für die gesamte Produktpalette Kurzheckversionen, Verstellausleger und hydraulische oder mechanische Schnellwechsler verfügbar. </w:t>
      </w:r>
    </w:p>
    <w:p w14:paraId="4758716C" w14:textId="77777777" w:rsidR="00FA4683" w:rsidRDefault="00DF428E">
      <w:pPr>
        <w:rPr>
          <w:rFonts w:ascii="Gill Sans MT" w:hAnsi="Gill Sans MT" w:cs="Arial"/>
          <w:b/>
          <w:bCs/>
          <w:lang w:val="de-DE"/>
        </w:rPr>
      </w:pPr>
      <w:r>
        <w:rPr>
          <w:rFonts w:ascii="Gill Sans MT" w:hAnsi="Gill Sans MT" w:cs="Arial"/>
          <w:b/>
          <w:bCs/>
          <w:lang w:val="de-DE"/>
        </w:rPr>
        <w:lastRenderedPageBreak/>
        <w:t xml:space="preserve">Optimale Maschinen </w:t>
      </w:r>
      <w:r>
        <w:rPr>
          <w:rFonts w:ascii="Gill Sans MT" w:hAnsi="Gill Sans MT" w:cs="Arial"/>
          <w:b/>
          <w:bCs/>
          <w:lang w:val="de-DE"/>
        </w:rPr>
        <w:t xml:space="preserve">für Hunderte von Anwendungen durch die Anwendung branchenführender Technologie </w:t>
      </w:r>
    </w:p>
    <w:p w14:paraId="27040CA2" w14:textId="77777777" w:rsidR="00FA4683" w:rsidRDefault="00DF428E">
      <w:pPr>
        <w:rPr>
          <w:rFonts w:ascii="Gill Sans MT" w:hAnsi="Gill Sans MT" w:cs="Arial"/>
          <w:lang w:val="de-DE"/>
        </w:rPr>
      </w:pPr>
      <w:r>
        <w:rPr>
          <w:rFonts w:ascii="Gill Sans MT" w:hAnsi="Gill Sans MT" w:cs="Arial"/>
          <w:lang w:val="de-DE"/>
        </w:rPr>
        <w:t>Um unsere Kunden zu unterstützen, verfügen alle Modelle der D-Serie über neue, fortschrittliche Funktionen, die durch branchenführende Technologie unterstützt werden. Die Fahre</w:t>
      </w:r>
      <w:r>
        <w:rPr>
          <w:rFonts w:ascii="Gill Sans MT" w:hAnsi="Gill Sans MT" w:cs="Arial"/>
          <w:lang w:val="de-DE"/>
        </w:rPr>
        <w:t>r können jedes Gerät vollständig an die Anforderungen des jeweiligen Einsatzes anpassen, wobei die Optionen von Basiskonfigurationen bis hin zu Modellen mit Premium-Funktionen reichen.</w:t>
      </w:r>
    </w:p>
    <w:p w14:paraId="616578DE" w14:textId="77777777" w:rsidR="00FA4683" w:rsidRDefault="00DF428E">
      <w:pPr>
        <w:rPr>
          <w:rFonts w:ascii="Gill Sans MT" w:hAnsi="Gill Sans MT" w:cs="Arial"/>
          <w:lang w:val="de-DE"/>
        </w:rPr>
      </w:pPr>
      <w:r>
        <w:rPr>
          <w:rFonts w:ascii="Gill Sans MT" w:hAnsi="Gill Sans MT" w:cs="Arial"/>
          <w:lang w:val="de-DE"/>
        </w:rPr>
        <w:t xml:space="preserve">Neben 20 verschiedenen Maschinengrößen können bis zu drei hydraulische </w:t>
      </w:r>
      <w:r>
        <w:rPr>
          <w:rFonts w:ascii="Gill Sans MT" w:hAnsi="Gill Sans MT" w:cs="Arial"/>
          <w:lang w:val="de-DE"/>
        </w:rPr>
        <w:t>Hilfskreisläufe mit elektrohydraulischer Proportionalsteuerung und ein hochwertiges Angebot an hydraulischen und mechanischen Schnellwechslern spezifiziert werden. Diese ermöglichen eine nahezu unendliche Auswahl an Anbaugeräten, von Löffeln bis hin zu Häm</w:t>
      </w:r>
      <w:r>
        <w:rPr>
          <w:rFonts w:ascii="Gill Sans MT" w:hAnsi="Gill Sans MT" w:cs="Arial"/>
          <w:lang w:val="de-DE"/>
        </w:rPr>
        <w:t xml:space="preserve">mern und Mulchern. </w:t>
      </w:r>
    </w:p>
    <w:p w14:paraId="0CDACA92" w14:textId="77777777" w:rsidR="00FA4683" w:rsidRDefault="00DF428E">
      <w:pPr>
        <w:rPr>
          <w:rFonts w:ascii="Gill Sans MT" w:hAnsi="Gill Sans MT" w:cs="Arial"/>
          <w:lang w:val="de-DE"/>
        </w:rPr>
      </w:pPr>
      <w:r>
        <w:rPr>
          <w:rFonts w:ascii="Gill Sans MT" w:hAnsi="Gill Sans MT" w:cs="Arial"/>
          <w:lang w:val="de-DE"/>
        </w:rPr>
        <w:t>Für eine kompakte und wendige Bauweise sind für die gesamte Baureihe Kurzheck-Versionen erhältlich, die eine optimale Manövrierfähigkeit ermöglichen. In Verbindung mit dem Verstell-Ausleger bieten sie eine höhere Ausschütthöhe und größe</w:t>
      </w:r>
      <w:r>
        <w:rPr>
          <w:rFonts w:ascii="Gill Sans MT" w:hAnsi="Gill Sans MT" w:cs="Arial"/>
          <w:lang w:val="de-DE"/>
        </w:rPr>
        <w:t>re Reichweite als mit vergleichbaren Standard-Monoauslegern. Bei beengten Platzverhältnissen lässt sich so tiefer und näher an der Maschine graben. Der Verstellausleger ist für die gesamte Produktpalette erhältlich, einschließlich der 2-Tonnen-, 4,5-Tonnen</w:t>
      </w:r>
      <w:r>
        <w:rPr>
          <w:rFonts w:ascii="Gill Sans MT" w:hAnsi="Gill Sans MT" w:cs="Arial"/>
          <w:lang w:val="de-DE"/>
        </w:rPr>
        <w:t>- und 5,5-Tonnen-Modelle - eine Branchenneuheit.</w:t>
      </w:r>
    </w:p>
    <w:p w14:paraId="409A086C" w14:textId="77777777" w:rsidR="00FA4683" w:rsidRDefault="00DF428E">
      <w:pPr>
        <w:rPr>
          <w:rFonts w:ascii="Gill Sans MT" w:hAnsi="Gill Sans MT" w:cs="Arial"/>
          <w:lang w:val="de-DE"/>
        </w:rPr>
      </w:pPr>
      <w:r>
        <w:rPr>
          <w:rFonts w:ascii="Gill Sans MT" w:hAnsi="Gill Sans MT" w:cs="Arial"/>
          <w:lang w:val="de-DE"/>
        </w:rPr>
        <w:t xml:space="preserve">Weitere Hightech-Merkmale aller Modelle sind die elektrohydraulische Steuerung, die hydraulischen Voreinstellungen, die elektronische Pumpe mit Lasterkennung und die Steuerventile mit Förderstromverteilung. </w:t>
      </w:r>
    </w:p>
    <w:p w14:paraId="7041F8B7" w14:textId="77777777" w:rsidR="00FA4683" w:rsidRDefault="00DF428E">
      <w:pPr>
        <w:rPr>
          <w:rFonts w:ascii="Gill Sans MT" w:hAnsi="Gill Sans MT" w:cs="Arial"/>
          <w:lang w:val="de-DE"/>
        </w:rPr>
      </w:pPr>
      <w:r>
        <w:rPr>
          <w:rFonts w:ascii="Gill Sans MT" w:hAnsi="Gill Sans MT" w:cs="Arial"/>
          <w:lang w:val="de-DE"/>
        </w:rPr>
        <w:t>Der CX15EV ist das erste der Elektromodelle, das auf dem CNH Industrial Capital Markets Day im Februar 2022 vorgestellt wurde. Die im ersten Quartal 2023 erhältliche 1,3-Tonnen-Maschine verfügt über einen 16-kW-Elektromotor mit einer 21,5-kWh-Batterie, die</w:t>
      </w:r>
      <w:r>
        <w:rPr>
          <w:rFonts w:ascii="Gill Sans MT" w:hAnsi="Gill Sans MT" w:cs="Arial"/>
          <w:lang w:val="de-DE"/>
        </w:rPr>
        <w:t xml:space="preserve"> mit einem externen Schnellladegerät in weniger als zwei Stunden aufgeladen werden kann, was die Ausfallzeiten minimiert. Das bedeutet, dass die Kunden sowohl die Produktivität als auch die Emissions- und Lärmbelastung optimieren können.  </w:t>
      </w:r>
    </w:p>
    <w:p w14:paraId="2DEF6A62" w14:textId="77777777" w:rsidR="00FA4683" w:rsidRDefault="00DF428E">
      <w:pPr>
        <w:rPr>
          <w:rFonts w:ascii="Gill Sans MT" w:hAnsi="Gill Sans MT" w:cs="Arial"/>
          <w:b/>
          <w:bCs/>
          <w:lang w:val="de-DE"/>
        </w:rPr>
      </w:pPr>
      <w:r>
        <w:rPr>
          <w:rFonts w:ascii="Gill Sans MT" w:hAnsi="Gill Sans MT" w:cs="Arial"/>
          <w:b/>
          <w:bCs/>
          <w:lang w:val="de-DE"/>
        </w:rPr>
        <w:t>Bedienkomfort, P</w:t>
      </w:r>
      <w:r>
        <w:rPr>
          <w:rFonts w:ascii="Gill Sans MT" w:hAnsi="Gill Sans MT" w:cs="Arial"/>
          <w:b/>
          <w:bCs/>
          <w:lang w:val="de-DE"/>
        </w:rPr>
        <w:t xml:space="preserve">roduktivität und Sicherheit wurden weiter verbessert </w:t>
      </w:r>
    </w:p>
    <w:p w14:paraId="54D10CA3" w14:textId="77777777" w:rsidR="00FA4683" w:rsidRDefault="00DF428E">
      <w:pPr>
        <w:rPr>
          <w:rFonts w:ascii="Gill Sans MT" w:hAnsi="Gill Sans MT" w:cs="Arial"/>
          <w:lang w:val="de-DE"/>
        </w:rPr>
      </w:pPr>
      <w:r>
        <w:rPr>
          <w:rFonts w:ascii="Gill Sans MT" w:hAnsi="Gill Sans MT" w:cs="Arial"/>
          <w:lang w:val="de-DE"/>
        </w:rPr>
        <w:t>Der Fahrer profitiert von vielen Funktionen, die die Sicherheit und Produktivität erhöhen, von der automatischen Klimaanlage und Heizung bis hin zu den Schnellkupplungen, die einen schnellen Wechsel dur</w:t>
      </w:r>
      <w:r>
        <w:rPr>
          <w:rFonts w:ascii="Gill Sans MT" w:hAnsi="Gill Sans MT" w:cs="Arial"/>
          <w:lang w:val="de-DE"/>
        </w:rPr>
        <w:t>ch den Fahrer vor Ort ermöglichen. Die anpassbaren elektrohydraulischen Bedienelemente und die digitale Steuereinheit mit AUX1-, AUX2- und AUX3-Förderstromeinstellungen bieten dem Bediener ein hohes Maß an Anpassungsmöglichkeiten an seine individuelle Arbe</w:t>
      </w:r>
      <w:r>
        <w:rPr>
          <w:rFonts w:ascii="Gill Sans MT" w:hAnsi="Gill Sans MT" w:cs="Arial"/>
          <w:lang w:val="de-DE"/>
        </w:rPr>
        <w:t>itsweise und Kontrolle über den Arbeitsablauf.</w:t>
      </w:r>
    </w:p>
    <w:p w14:paraId="72DEBDA7" w14:textId="77777777" w:rsidR="00FA4683" w:rsidRDefault="00DF428E">
      <w:pPr>
        <w:rPr>
          <w:rFonts w:ascii="Gill Sans MT" w:hAnsi="Gill Sans MT" w:cs="Arial"/>
          <w:lang w:val="de-DE"/>
        </w:rPr>
      </w:pPr>
      <w:r>
        <w:rPr>
          <w:rFonts w:ascii="Gill Sans MT" w:hAnsi="Gill Sans MT" w:cs="Arial"/>
          <w:lang w:val="de-DE"/>
        </w:rPr>
        <w:t>Der Ausleger, die Motorhaube vorne rechts und die Fahrlichter vorne in der Kabine, die Innenbeleuchtung der Kabine, der Stoffsitz mit optionaler Luftfederung und Heizung sowie die optionalen Joysticks sind all</w:t>
      </w:r>
      <w:r>
        <w:rPr>
          <w:rFonts w:ascii="Gill Sans MT" w:hAnsi="Gill Sans MT" w:cs="Arial"/>
          <w:lang w:val="de-DE"/>
        </w:rPr>
        <w:t xml:space="preserve">esamt für den Komfort und die Sicherheit des Fahrers ausgelegt. Die optionale Diebstahlsicherung, die Rückfahrkamera und die optionalen zusätzlichen Arbeitsscheinwerfer im hinteren Bereich des Fahrerhauses sorgen für zusätzliche Sicherheit. </w:t>
      </w:r>
    </w:p>
    <w:p w14:paraId="661E93D8" w14:textId="77777777" w:rsidR="00FA4683" w:rsidRDefault="00DF428E">
      <w:pPr>
        <w:rPr>
          <w:rFonts w:ascii="Gill Sans MT" w:hAnsi="Gill Sans MT" w:cs="Arial"/>
          <w:lang w:val="de-DE"/>
        </w:rPr>
      </w:pPr>
      <w:r>
        <w:rPr>
          <w:rFonts w:ascii="Gill Sans MT" w:hAnsi="Gill Sans MT" w:cs="Arial"/>
          <w:lang w:val="de-DE"/>
        </w:rPr>
        <w:t>Und schließlic</w:t>
      </w:r>
      <w:r>
        <w:rPr>
          <w:rFonts w:ascii="Gill Sans MT" w:hAnsi="Gill Sans MT" w:cs="Arial"/>
          <w:lang w:val="de-DE"/>
        </w:rPr>
        <w:t xml:space="preserve">h verbessern optionales DAB-Radio, Bluetooth, USB, SD/SDHC-Speicherkarte und ein Aux-Eingang die Arbeitsumgebung des Fahrers.  </w:t>
      </w:r>
    </w:p>
    <w:p w14:paraId="3E1AC020" w14:textId="77777777" w:rsidR="00FA4683" w:rsidRDefault="00DF428E">
      <w:pPr>
        <w:rPr>
          <w:rFonts w:ascii="Gill Sans MT" w:hAnsi="Gill Sans MT" w:cs="Arial"/>
          <w:b/>
          <w:bCs/>
          <w:lang w:val="de-DE"/>
        </w:rPr>
      </w:pPr>
      <w:r>
        <w:rPr>
          <w:rFonts w:ascii="Gill Sans MT" w:hAnsi="Gill Sans MT" w:cs="Arial"/>
          <w:b/>
          <w:bCs/>
          <w:lang w:val="de-DE"/>
        </w:rPr>
        <w:lastRenderedPageBreak/>
        <w:t xml:space="preserve">Optimierte Einsatzzeit und höhere Kundenzufriedenheit mit CASE® Service Solutions </w:t>
      </w:r>
    </w:p>
    <w:p w14:paraId="234972BA" w14:textId="77777777" w:rsidR="00FA4683" w:rsidRDefault="00DF428E">
      <w:pPr>
        <w:rPr>
          <w:rFonts w:ascii="Gill Sans MT" w:hAnsi="Gill Sans MT" w:cs="Arial"/>
          <w:lang w:val="de-DE"/>
        </w:rPr>
      </w:pPr>
      <w:r>
        <w:rPr>
          <w:rFonts w:ascii="Gill Sans MT" w:hAnsi="Gill Sans MT" w:cs="Arial"/>
          <w:lang w:val="de-DE"/>
        </w:rPr>
        <w:t>Um die Flexibilität, die Betriebszeit, die Pr</w:t>
      </w:r>
      <w:r>
        <w:rPr>
          <w:rFonts w:ascii="Gill Sans MT" w:hAnsi="Gill Sans MT" w:cs="Arial"/>
          <w:lang w:val="de-DE"/>
        </w:rPr>
        <w:t xml:space="preserve">oduktivität und die Rentabilität der neuen Minibagger der D-Serie weiter zu steigern, hat CASE eine Reihe von Netz gestützten und nicht vernetzten Kundendienstleistungen, die CASE Service Solutions, entwickelt um unsere Kunden im Einsatz zu unterstützen.  </w:t>
      </w:r>
    </w:p>
    <w:p w14:paraId="53C32103" w14:textId="77777777" w:rsidR="00FA4683" w:rsidRDefault="00DF428E">
      <w:pPr>
        <w:rPr>
          <w:rFonts w:ascii="Gill Sans MT" w:hAnsi="Gill Sans MT" w:cs="Arial"/>
          <w:lang w:val="de-DE"/>
        </w:rPr>
      </w:pPr>
      <w:r>
        <w:rPr>
          <w:rFonts w:ascii="Gill Sans MT" w:hAnsi="Gill Sans MT" w:cs="Arial"/>
          <w:lang w:val="de-DE"/>
        </w:rPr>
        <w:t>Flottenmanager profitieren von der Geolokalisierung, der Flottensicherheit durch Geo-Fencing und Warnmeldungen bei unbefugter Nutzung sowie von der flexiblen Berichterstattung des umfassenden Flottenmanagement-Tools CASE SiteWatchTM. Dieses leistungsstark</w:t>
      </w:r>
      <w:r>
        <w:rPr>
          <w:rFonts w:ascii="Gill Sans MT" w:hAnsi="Gill Sans MT" w:cs="Arial"/>
          <w:lang w:val="de-DE"/>
        </w:rPr>
        <w:t>e Tool bietet die Möglichkeit, wichtige Leistungsindikatoren (KPIs) wie Kraftstoffverbrauch, Auslastung, Maschinenlaufzeit und Leerlaufzeiten zu verfolgen, wodurch Produktivität und Rentabilität überwacht und optimiert werden können. Die Daten sind über ei</w:t>
      </w:r>
      <w:r>
        <w:rPr>
          <w:rFonts w:ascii="Gill Sans MT" w:hAnsi="Gill Sans MT" w:cs="Arial"/>
          <w:lang w:val="de-DE"/>
        </w:rPr>
        <w:t>n Online-Portal leicht zugänglich.</w:t>
      </w:r>
    </w:p>
    <w:p w14:paraId="7FD648F4" w14:textId="77777777" w:rsidR="00FA4683" w:rsidRDefault="00DF428E">
      <w:pPr>
        <w:rPr>
          <w:rFonts w:ascii="Gill Sans MT" w:hAnsi="Gill Sans MT" w:cs="Arial"/>
          <w:lang w:val="de-DE"/>
        </w:rPr>
      </w:pPr>
      <w:r>
        <w:rPr>
          <w:rFonts w:ascii="Gill Sans MT" w:hAnsi="Gill Sans MT" w:cs="Arial"/>
          <w:lang w:val="de-DE"/>
        </w:rPr>
        <w:t>CASE SiteConnect verbessert die Telemetriedaten, die vom CASE Uptime Center Team verwendet werden, um die Händler mit Warnmeldungen auf der Grundlage der Maschinenleistung zu versorgen. Schnelle Korrekturmaßnahmen zur Min</w:t>
      </w:r>
      <w:r>
        <w:rPr>
          <w:rFonts w:ascii="Gill Sans MT" w:hAnsi="Gill Sans MT" w:cs="Arial"/>
          <w:lang w:val="de-DE"/>
        </w:rPr>
        <w:t>imierung von Ausfallzeiten sind möglich, da die Händler aus der Ferne auf die Maschinendaten zugreifen und Korrekturmaßnahmen schneller ausführen können.  Dadurch können unsere Händler die Maschinen ihrer Kunden proaktiv verwalten und die Betriebszeit erhö</w:t>
      </w:r>
      <w:r>
        <w:rPr>
          <w:rFonts w:ascii="Gill Sans MT" w:hAnsi="Gill Sans MT" w:cs="Arial"/>
          <w:lang w:val="de-DE"/>
        </w:rPr>
        <w:t>hen. Sowohl SiteWatch als auch SiteConnect sind für die neuen Minibagger der D-Serie ab 2023 verfügbar.</w:t>
      </w:r>
    </w:p>
    <w:p w14:paraId="5AB9A2D0" w14:textId="77777777" w:rsidR="00FA4683" w:rsidRDefault="00DF428E">
      <w:pPr>
        <w:rPr>
          <w:rFonts w:ascii="Gill Sans MT" w:hAnsi="Gill Sans MT" w:cs="Arial"/>
          <w:lang w:val="de-DE"/>
        </w:rPr>
      </w:pPr>
      <w:r>
        <w:rPr>
          <w:rFonts w:ascii="Gill Sans MT" w:hAnsi="Gill Sans MT" w:cs="Arial"/>
          <w:lang w:val="de-DE"/>
        </w:rPr>
        <w:t>Um die Flexibilität, die Betriebszeit, die Produktivität und die Rentabilität der neuen Minibagger der D-Serie weiter zu steigern, hat CASE Service-Wart</w:t>
      </w:r>
      <w:r>
        <w:rPr>
          <w:rFonts w:ascii="Gill Sans MT" w:hAnsi="Gill Sans MT" w:cs="Arial"/>
          <w:lang w:val="de-DE"/>
        </w:rPr>
        <w:t>ungskits für alle Modelle der Baureihe entwickelt.</w:t>
      </w:r>
    </w:p>
    <w:p w14:paraId="1EA7EE3D" w14:textId="77777777" w:rsidR="00FA4683" w:rsidRDefault="00DF428E">
      <w:pPr>
        <w:rPr>
          <w:rFonts w:ascii="Gill Sans MT" w:hAnsi="Gill Sans MT" w:cs="Arial"/>
          <w:lang w:val="de-DE"/>
        </w:rPr>
      </w:pPr>
      <w:r>
        <w:rPr>
          <w:rFonts w:ascii="Gill Sans MT" w:hAnsi="Gill Sans MT" w:cs="Arial"/>
          <w:lang w:val="de-DE"/>
        </w:rPr>
        <w:t>„CASE Servicelösungen halten die Maschinen unserer Kunden in einem Top-Zustand mit maximaler Betriebszeit, ohne unerwartete Kosten und mit optimierter Rentabilität", unterstreicht Peter Garry, Director, Eu</w:t>
      </w:r>
      <w:r>
        <w:rPr>
          <w:rFonts w:ascii="Gill Sans MT" w:hAnsi="Gill Sans MT" w:cs="Arial"/>
          <w:lang w:val="de-DE"/>
        </w:rPr>
        <w:t>rope Construction Parts and Service. „Die Kernlösungen sind ab sofort verfügbar und es ist geplant, die CASE Service Solutions für die gesamte Produktpalette in ganz Europa einzuführen, sobald die Maschinen verfügbar sind."</w:t>
      </w:r>
    </w:p>
    <w:p w14:paraId="2B6B6A7C" w14:textId="77777777" w:rsidR="00FA4683" w:rsidRDefault="00DF428E">
      <w:pPr>
        <w:rPr>
          <w:rFonts w:ascii="Gill Sans MT" w:hAnsi="Gill Sans MT" w:cs="Arial"/>
          <w:b/>
          <w:bCs/>
          <w:lang w:val="de-DE"/>
        </w:rPr>
      </w:pPr>
      <w:r>
        <w:rPr>
          <w:rFonts w:ascii="Gill Sans MT" w:hAnsi="Gill Sans MT" w:cs="Arial"/>
          <w:b/>
          <w:bCs/>
          <w:lang w:val="de-DE"/>
        </w:rPr>
        <w:t>Erleben Sie die Vorteile der neu</w:t>
      </w:r>
      <w:r>
        <w:rPr>
          <w:rFonts w:ascii="Gill Sans MT" w:hAnsi="Gill Sans MT" w:cs="Arial"/>
          <w:b/>
          <w:bCs/>
          <w:lang w:val="de-DE"/>
        </w:rPr>
        <w:t>en Mini-Bagger der D-Serie auf unseren Kundenveranstaltungen</w:t>
      </w:r>
    </w:p>
    <w:p w14:paraId="52E0E618" w14:textId="77777777" w:rsidR="00FA4683" w:rsidRDefault="00DF428E">
      <w:pPr>
        <w:rPr>
          <w:rFonts w:ascii="Gill Sans MT" w:hAnsi="Gill Sans MT" w:cs="Arial"/>
          <w:lang w:val="de-DE"/>
        </w:rPr>
      </w:pPr>
      <w:r>
        <w:rPr>
          <w:rFonts w:ascii="Gill Sans MT" w:hAnsi="Gill Sans MT" w:cs="Arial"/>
          <w:lang w:val="de-DE"/>
        </w:rPr>
        <w:t>Um die Vorteile der neuen Maschinen in vollem Umfang zu erleben, werden alle CASE Kunden und die Medien im Mai und Juni zu Feldveranstaltungen eingeladen, bei denen sie die Maschinen ausprobieren</w:t>
      </w:r>
      <w:r>
        <w:rPr>
          <w:rFonts w:ascii="Gill Sans MT" w:hAnsi="Gill Sans MT" w:cs="Arial"/>
          <w:lang w:val="de-DE"/>
        </w:rPr>
        <w:t xml:space="preserve"> und kaufen können:  </w:t>
      </w:r>
    </w:p>
    <w:p w14:paraId="18E818C3" w14:textId="77777777" w:rsidR="00FA4683" w:rsidRDefault="00DF428E">
      <w:pPr>
        <w:rPr>
          <w:rFonts w:ascii="Gill Sans MT" w:hAnsi="Gill Sans MT" w:cs="Arial"/>
          <w:lang w:val="de-DE"/>
        </w:rPr>
      </w:pPr>
      <w:r>
        <w:rPr>
          <w:rFonts w:ascii="Gill Sans MT" w:hAnsi="Gill Sans MT" w:cs="Arial"/>
          <w:lang w:val="de-DE"/>
        </w:rPr>
        <w:t>•</w:t>
      </w:r>
      <w:r>
        <w:rPr>
          <w:rFonts w:ascii="Gill Sans MT" w:hAnsi="Gill Sans MT" w:cs="Arial"/>
          <w:lang w:val="de-DE"/>
        </w:rPr>
        <w:tab/>
        <w:t>Ettringen, Deutschland: 14.-15. Mai</w:t>
      </w:r>
    </w:p>
    <w:p w14:paraId="1B0AB5DA" w14:textId="77777777" w:rsidR="00FA4683" w:rsidRDefault="00DF428E">
      <w:pPr>
        <w:rPr>
          <w:rFonts w:ascii="Gill Sans MT" w:hAnsi="Gill Sans MT" w:cs="Arial"/>
          <w:lang w:val="de-DE"/>
        </w:rPr>
      </w:pPr>
      <w:r>
        <w:rPr>
          <w:rFonts w:ascii="Gill Sans MT" w:hAnsi="Gill Sans MT" w:cs="Arial"/>
          <w:lang w:val="de-DE"/>
        </w:rPr>
        <w:t>•</w:t>
      </w:r>
      <w:r>
        <w:rPr>
          <w:rFonts w:ascii="Gill Sans MT" w:hAnsi="Gill Sans MT" w:cs="Arial"/>
          <w:lang w:val="de-DE"/>
        </w:rPr>
        <w:tab/>
        <w:t>Calenzano (Florenz), Italien: 27.-28. Mai</w:t>
      </w:r>
    </w:p>
    <w:p w14:paraId="04EF2AD7" w14:textId="77777777" w:rsidR="00FA4683" w:rsidRDefault="00DF428E">
      <w:pPr>
        <w:rPr>
          <w:rFonts w:ascii="Gill Sans MT" w:hAnsi="Gill Sans MT" w:cs="Arial"/>
          <w:lang w:val="de-DE"/>
        </w:rPr>
      </w:pPr>
      <w:r>
        <w:rPr>
          <w:rFonts w:ascii="Gill Sans MT" w:hAnsi="Gill Sans MT" w:cs="Arial"/>
          <w:lang w:val="de-DE"/>
        </w:rPr>
        <w:t>•</w:t>
      </w:r>
      <w:r>
        <w:rPr>
          <w:rFonts w:ascii="Gill Sans MT" w:hAnsi="Gill Sans MT" w:cs="Arial"/>
          <w:lang w:val="de-DE"/>
        </w:rPr>
        <w:tab/>
        <w:t>Quilly (Nantes), Frankreich: 8.-9. Juni</w:t>
      </w:r>
    </w:p>
    <w:p w14:paraId="664B27E2" w14:textId="77777777" w:rsidR="00FA4683" w:rsidRDefault="00DF428E">
      <w:pPr>
        <w:rPr>
          <w:rFonts w:ascii="Gill Sans MT" w:hAnsi="Gill Sans MT" w:cs="Arial"/>
          <w:lang w:val="de-DE"/>
        </w:rPr>
      </w:pPr>
      <w:r>
        <w:rPr>
          <w:rFonts w:ascii="Gill Sans MT" w:hAnsi="Gill Sans MT" w:cs="Arial"/>
          <w:lang w:val="de-DE"/>
        </w:rPr>
        <w:t>Alle Einzelheiten finden Sie auf der CASE-Website:</w:t>
      </w:r>
    </w:p>
    <w:p w14:paraId="6C4608A1" w14:textId="77777777" w:rsidR="00FA4683" w:rsidRDefault="00DF428E">
      <w:pPr>
        <w:rPr>
          <w:rFonts w:ascii="Gill Sans MT" w:hAnsi="Gill Sans MT" w:cs="Arial"/>
          <w:lang w:val="de-DE"/>
        </w:rPr>
      </w:pPr>
      <w:r>
        <w:rPr>
          <w:rFonts w:ascii="Gill Sans MT" w:hAnsi="Gill Sans MT" w:cs="Arial"/>
          <w:lang w:val="de-DE"/>
        </w:rPr>
        <w:t xml:space="preserve">https://www.casepromotion.com/roadshow/  </w:t>
      </w:r>
    </w:p>
    <w:p w14:paraId="55C5E82C" w14:textId="77777777" w:rsidR="00FA4683" w:rsidRDefault="00DF428E">
      <w:pPr>
        <w:rPr>
          <w:rFonts w:ascii="Gill Sans MT" w:hAnsi="Gill Sans MT" w:cs="Arial"/>
          <w:lang w:val="de-DE"/>
        </w:rPr>
      </w:pPr>
      <w:r>
        <w:rPr>
          <w:rFonts w:ascii="Gill Sans MT" w:hAnsi="Gill Sans MT" w:cs="Arial"/>
          <w:lang w:val="de-DE"/>
        </w:rPr>
        <w:lastRenderedPageBreak/>
        <w:t>Die Besucher könn</w:t>
      </w:r>
      <w:r>
        <w:rPr>
          <w:rFonts w:ascii="Gill Sans MT" w:hAnsi="Gill Sans MT" w:cs="Arial"/>
          <w:lang w:val="de-DE"/>
        </w:rPr>
        <w:t>en die Maschinen nicht nur besichtigen und testen, sondern auch an Vorführungen und Rodeo-Wettbewerben teilnehmen, bei denen die Wendigkeit und Vielseitigkeit der neuen Modelle demonstriert wird. Die neuen Minibagger der D-Serie können auch auf der Messe H</w:t>
      </w:r>
      <w:r>
        <w:rPr>
          <w:rFonts w:ascii="Gill Sans MT" w:hAnsi="Gill Sans MT" w:cs="Arial"/>
          <w:lang w:val="de-DE"/>
        </w:rPr>
        <w:t xml:space="preserve">illhead 2022 in Großbritannien vom 21. bis 23. Juni besichtigt werden.  </w:t>
      </w:r>
    </w:p>
    <w:p w14:paraId="2468B82D" w14:textId="77777777" w:rsidR="00FA4683" w:rsidRDefault="00DF428E">
      <w:pPr>
        <w:jc w:val="center"/>
        <w:rPr>
          <w:rFonts w:ascii="Gill Sans MT" w:hAnsi="Gill Sans MT"/>
          <w:color w:val="000000" w:themeColor="text1"/>
          <w:lang w:val="de-DE"/>
        </w:rPr>
      </w:pPr>
      <w:r>
        <w:rPr>
          <w:rFonts w:ascii="Gill Sans MT" w:hAnsi="Gill Sans MT"/>
          <w:b/>
          <w:bCs/>
          <w:color w:val="000000" w:themeColor="text1"/>
          <w:lang w:val="de-DE"/>
        </w:rPr>
        <w:t>ENDE</w:t>
      </w:r>
    </w:p>
    <w:bookmarkEnd w:id="0"/>
    <w:bookmarkEnd w:id="1"/>
    <w:p w14:paraId="606E682B" w14:textId="77777777" w:rsidR="00FA4683" w:rsidRDefault="00DF428E">
      <w:pPr>
        <w:pStyle w:val="NormalWeb"/>
        <w:rPr>
          <w:rFonts w:ascii="Gill Sans MT" w:eastAsia="Gill Sans MT" w:hAnsi="Gill Sans MT" w:cs="Gill Sans MT"/>
          <w:color w:val="000000" w:themeColor="text1"/>
          <w:sz w:val="19"/>
          <w:szCs w:val="19"/>
          <w:lang w:val="de-DE"/>
        </w:rPr>
      </w:pPr>
      <w:r>
        <w:rPr>
          <w:rFonts w:ascii="Gill Sans MT" w:eastAsia="Gill Sans MT" w:hAnsi="Gill Sans MT" w:cs="Gill Sans MT"/>
          <w:b/>
          <w:bCs/>
          <w:color w:val="000000" w:themeColor="text1"/>
          <w:sz w:val="19"/>
          <w:szCs w:val="19"/>
          <w:lang w:val="de-DE"/>
        </w:rPr>
        <w:t>Hinweise für die Redaktion</w:t>
      </w:r>
    </w:p>
    <w:p w14:paraId="069F20F3"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9"/>
          <w:szCs w:val="19"/>
          <w:lang w:val="de-DE"/>
        </w:rPr>
      </w:pPr>
      <w:r>
        <w:rPr>
          <w:rFonts w:ascii="Gill Sans MT" w:eastAsia="Gill Sans MT" w:hAnsi="Gill Sans MT" w:cs="Gill Sans MT"/>
          <w:color w:val="000000" w:themeColor="text1"/>
          <w:sz w:val="19"/>
          <w:szCs w:val="19"/>
          <w:lang w:val="de-DE"/>
        </w:rPr>
        <w:t>Zu den neuen Merkmalen und Vorteilen der Minibagger der CASE D-Serie mit 20 Modellen gehören:</w:t>
      </w:r>
    </w:p>
    <w:p w14:paraId="21BFD043"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9"/>
          <w:szCs w:val="19"/>
          <w:lang w:val="de-DE"/>
        </w:rPr>
      </w:pPr>
      <w:r>
        <w:rPr>
          <w:rFonts w:ascii="Gill Sans MT" w:eastAsia="Gill Sans MT" w:hAnsi="Gill Sans MT" w:cs="Gill Sans MT"/>
          <w:b/>
          <w:bCs/>
          <w:color w:val="000000" w:themeColor="text1"/>
          <w:sz w:val="19"/>
          <w:szCs w:val="19"/>
          <w:lang w:val="de-DE"/>
        </w:rPr>
        <w:t>Vielseitigkeit, Agilität und Flexibilität:</w:t>
      </w:r>
      <w:r>
        <w:rPr>
          <w:rFonts w:ascii="Gill Sans MT" w:eastAsia="Gill Sans MT" w:hAnsi="Gill Sans MT" w:cs="Gill Sans MT"/>
          <w:color w:val="000000" w:themeColor="text1"/>
          <w:sz w:val="19"/>
          <w:szCs w:val="19"/>
          <w:lang w:val="de-DE"/>
        </w:rPr>
        <w:t xml:space="preserve">  20 Modelle von 1,2 t bis 6,2 t, zweiteiliger Ausleger, Nullheckschwenkung und kurzer Radius serienmäßig bei den Modellen von 2 t bis 6 t, einschließlich der einzigartigen 2-t-Modelle, so dass die D-Serie auf jeder Baustelle eingesetzt werden kann, um all</w:t>
      </w:r>
      <w:r>
        <w:rPr>
          <w:rFonts w:ascii="Gill Sans MT" w:eastAsia="Gill Sans MT" w:hAnsi="Gill Sans MT" w:cs="Gill Sans MT"/>
          <w:color w:val="000000" w:themeColor="text1"/>
          <w:sz w:val="19"/>
          <w:szCs w:val="19"/>
          <w:lang w:val="de-DE"/>
        </w:rPr>
        <w:t xml:space="preserve">e Kundenanforderungen zu erfüllen.  </w:t>
      </w:r>
    </w:p>
    <w:p w14:paraId="56A566D7"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9"/>
          <w:szCs w:val="19"/>
          <w:lang w:val="de-DE"/>
        </w:rPr>
      </w:pPr>
      <w:r>
        <w:rPr>
          <w:rFonts w:ascii="Gill Sans MT" w:eastAsia="Gill Sans MT" w:hAnsi="Gill Sans MT" w:cs="Gill Sans MT"/>
          <w:b/>
          <w:bCs/>
          <w:color w:val="000000" w:themeColor="text1"/>
          <w:sz w:val="19"/>
          <w:szCs w:val="19"/>
          <w:lang w:val="de-DE"/>
        </w:rPr>
        <w:t>Effizienz, Nachhaltigkeit, Wartungsfreundlichkeit und Vorteile bei den Gesamtbetriebskosten (TCO):</w:t>
      </w:r>
      <w:r>
        <w:rPr>
          <w:rFonts w:ascii="Gill Sans MT" w:eastAsia="Gill Sans MT" w:hAnsi="Gill Sans MT" w:cs="Gill Sans MT"/>
          <w:color w:val="000000" w:themeColor="text1"/>
          <w:sz w:val="19"/>
          <w:szCs w:val="19"/>
          <w:lang w:val="de-DE"/>
        </w:rPr>
        <w:t xml:space="preserve"> Elektronische proportionale Drehzahlregelung mit Leerlaufautomatik für mehr Kraftstoffeffizienz, kippbare Kabine (ROP/TO</w:t>
      </w:r>
      <w:r>
        <w:rPr>
          <w:rFonts w:ascii="Gill Sans MT" w:eastAsia="Gill Sans MT" w:hAnsi="Gill Sans MT" w:cs="Gill Sans MT"/>
          <w:color w:val="000000" w:themeColor="text1"/>
          <w:sz w:val="19"/>
          <w:szCs w:val="19"/>
          <w:lang w:val="de-DE"/>
        </w:rPr>
        <w:t xml:space="preserve">PS - FOPS Level 1), hydraulisch reversierbarer Gebläseantrieb mit Automatikfunktion, elektrische Kraftstoffnachfüllpumpe mit Auto-Stop-Funktion. Optionale Anti-Diebstahl-Technologie zum Schutz der Investition. </w:t>
      </w:r>
    </w:p>
    <w:p w14:paraId="22673168"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9"/>
          <w:szCs w:val="19"/>
          <w:lang w:val="de-DE"/>
        </w:rPr>
      </w:pPr>
      <w:r w:rsidRPr="002C50B1">
        <w:rPr>
          <w:rFonts w:ascii="Gill Sans MT" w:eastAsia="Gill Sans MT" w:hAnsi="Gill Sans MT" w:cs="Gill Sans MT"/>
          <w:b/>
          <w:bCs/>
          <w:color w:val="000000" w:themeColor="text1"/>
          <w:sz w:val="19"/>
          <w:szCs w:val="19"/>
          <w:lang w:val="de-DE"/>
        </w:rPr>
        <w:t>Ermöglicht individuelle Anpassung zur Steiger</w:t>
      </w:r>
      <w:r w:rsidRPr="002C50B1">
        <w:rPr>
          <w:rFonts w:ascii="Gill Sans MT" w:eastAsia="Gill Sans MT" w:hAnsi="Gill Sans MT" w:cs="Gill Sans MT"/>
          <w:b/>
          <w:bCs/>
          <w:color w:val="000000" w:themeColor="text1"/>
          <w:sz w:val="19"/>
          <w:szCs w:val="19"/>
          <w:lang w:val="de-DE"/>
        </w:rPr>
        <w:t>ung von Produktivität und Flexibilität:</w:t>
      </w:r>
      <w:r>
        <w:rPr>
          <w:rFonts w:ascii="Gill Sans MT" w:eastAsia="Gill Sans MT" w:hAnsi="Gill Sans MT" w:cs="Gill Sans MT"/>
          <w:color w:val="000000" w:themeColor="text1"/>
          <w:sz w:val="19"/>
          <w:szCs w:val="19"/>
          <w:lang w:val="de-DE"/>
        </w:rPr>
        <w:t xml:space="preserve"> Bio-Hydrauliköl und -Schmierstoffe, automatische Zentralschmierung, mit hohem Durchfluss für Anbaugeräte wie Mulcher und optionalem hydraulischem Schnellwechsler mit einfacher oder doppelter Wirkung oder mechanischem</w:t>
      </w:r>
      <w:r>
        <w:rPr>
          <w:rFonts w:ascii="Gill Sans MT" w:eastAsia="Gill Sans MT" w:hAnsi="Gill Sans MT" w:cs="Gill Sans MT"/>
          <w:color w:val="000000" w:themeColor="text1"/>
          <w:sz w:val="19"/>
          <w:szCs w:val="19"/>
          <w:lang w:val="de-DE"/>
        </w:rPr>
        <w:t xml:space="preserve"> und hydraulischem Schnellwechsler. Für jede Kundenanwendung steht eine breite Palette von Anbauteilen zur Verfügung. </w:t>
      </w:r>
    </w:p>
    <w:p w14:paraId="6BDF1A73"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9"/>
          <w:szCs w:val="19"/>
          <w:lang w:val="de-DE"/>
        </w:rPr>
      </w:pPr>
      <w:r w:rsidRPr="002C50B1">
        <w:rPr>
          <w:rFonts w:ascii="Gill Sans MT" w:eastAsia="Gill Sans MT" w:hAnsi="Gill Sans MT" w:cs="Gill Sans MT"/>
          <w:b/>
          <w:bCs/>
          <w:color w:val="000000" w:themeColor="text1"/>
          <w:sz w:val="19"/>
          <w:szCs w:val="19"/>
          <w:lang w:val="de-DE"/>
        </w:rPr>
        <w:t>Produktivitätssteigerung durch Sicherheit, Kontrolle und Komfort für den Fahrer:</w:t>
      </w:r>
      <w:r>
        <w:rPr>
          <w:rFonts w:ascii="Gill Sans MT" w:eastAsia="Gill Sans MT" w:hAnsi="Gill Sans MT" w:cs="Gill Sans MT"/>
          <w:color w:val="000000" w:themeColor="text1"/>
          <w:sz w:val="19"/>
          <w:szCs w:val="19"/>
          <w:lang w:val="de-DE"/>
        </w:rPr>
        <w:t xml:space="preserve"> Klima- und Heizungsautomatik, automatische Innenbeleucht</w:t>
      </w:r>
      <w:r>
        <w:rPr>
          <w:rFonts w:ascii="Gill Sans MT" w:eastAsia="Gill Sans MT" w:hAnsi="Gill Sans MT" w:cs="Gill Sans MT"/>
          <w:color w:val="000000" w:themeColor="text1"/>
          <w:sz w:val="19"/>
          <w:szCs w:val="19"/>
          <w:lang w:val="de-DE"/>
        </w:rPr>
        <w:t>ung im Fahrerhaus, serienmäßige LED-Arbeitsscheinwerfer (Ausleger, rechte Motorhaube und Fahrerhausfront) sowie optional zusätzliche LED-Arbeitsscheinwerfer (Fahrerhausrückseite) und Rückfahrkamera. Stoffsitz mit optionaler Luftfederung und Heizung sowie o</w:t>
      </w:r>
      <w:r>
        <w:rPr>
          <w:rFonts w:ascii="Gill Sans MT" w:eastAsia="Gill Sans MT" w:hAnsi="Gill Sans MT" w:cs="Gill Sans MT"/>
          <w:color w:val="000000" w:themeColor="text1"/>
          <w:sz w:val="19"/>
          <w:szCs w:val="19"/>
          <w:lang w:val="de-DE"/>
        </w:rPr>
        <w:t>ptionalen gefederten Joysticks. Digitales Cluster mit AUX1-, AUX2- und AUX3-Durchflusseinstellungen zur Anpassung an die individuellen Arbeitsmuster der Bediener. Und schließlich können die Fahrer mit dem optionalen DAB-Radio, Bluetooth, USB, SD/SDHC-Speic</w:t>
      </w:r>
      <w:r>
        <w:rPr>
          <w:rFonts w:ascii="Gill Sans MT" w:eastAsia="Gill Sans MT" w:hAnsi="Gill Sans MT" w:cs="Gill Sans MT"/>
          <w:color w:val="000000" w:themeColor="text1"/>
          <w:sz w:val="19"/>
          <w:szCs w:val="19"/>
          <w:lang w:val="de-DE"/>
        </w:rPr>
        <w:t>herkarte und einem Aux-Eingang sicher die Kommunikation und Unterhaltung in der Kabine genießen.</w:t>
      </w:r>
    </w:p>
    <w:p w14:paraId="6906AC67" w14:textId="77777777" w:rsidR="00FA4683" w:rsidRDefault="00DF428E">
      <w:pPr>
        <w:spacing w:before="100" w:beforeAutospacing="1" w:after="100" w:afterAutospacing="1" w:line="240" w:lineRule="auto"/>
        <w:rPr>
          <w:rFonts w:ascii="Calibri" w:eastAsia="Calibri" w:hAnsi="Calibri" w:cs="Times New Roman"/>
          <w:color w:val="000000" w:themeColor="text1"/>
          <w:lang w:val="de-DE"/>
        </w:rPr>
      </w:pPr>
      <w:r>
        <w:rPr>
          <w:rFonts w:ascii="Gill Sans MT" w:eastAsia="Gill Sans MT" w:hAnsi="Gill Sans MT" w:cs="Gill Sans MT"/>
          <w:color w:val="000000" w:themeColor="text1"/>
          <w:sz w:val="19"/>
          <w:szCs w:val="19"/>
          <w:lang w:val="de-DE"/>
        </w:rPr>
        <w:t xml:space="preserve">Von unserer Website können Sie Texte, Videos und Bilddateien in hoher Auflösung (JPG 300 DPI, CMYK) zu dieser Pressemeldung herunterladen: </w:t>
      </w:r>
      <w:hyperlink r:id="rId12">
        <w:r>
          <w:rPr>
            <w:rStyle w:val="Hyperlink"/>
            <w:rFonts w:ascii="Gill Sans MT" w:eastAsia="Gill Sans MT" w:hAnsi="Gill Sans MT" w:cs="Gill Sans MT"/>
            <w:sz w:val="19"/>
            <w:szCs w:val="19"/>
            <w:lang w:val="de-DE"/>
          </w:rPr>
          <w:t>www.casecetools.com/press-kit</w:t>
        </w:r>
      </w:hyperlink>
    </w:p>
    <w:p w14:paraId="4010EAB9" w14:textId="77777777" w:rsidR="00FA4683" w:rsidRDefault="00DF428E">
      <w:pPr>
        <w:spacing w:before="100" w:beforeAutospacing="1" w:after="100" w:afterAutospacing="1" w:line="240" w:lineRule="auto"/>
        <w:rPr>
          <w:rFonts w:ascii="Calibri" w:eastAsia="Calibri" w:hAnsi="Calibri" w:cs="Times New Roman"/>
          <w:color w:val="000000" w:themeColor="text1"/>
          <w:sz w:val="19"/>
          <w:szCs w:val="19"/>
          <w:lang w:val="de-DE"/>
        </w:rPr>
      </w:pPr>
      <w:r>
        <w:rPr>
          <w:rFonts w:ascii="Gill Sans MT" w:eastAsia="Gill Sans MT" w:hAnsi="Gill Sans MT" w:cs="Gill Sans MT"/>
          <w:color w:val="212121"/>
          <w:sz w:val="19"/>
          <w:szCs w:val="19"/>
          <w:lang w:val="de-DE"/>
        </w:rPr>
        <w:t xml:space="preserve">Folgen Sie uns auf: </w:t>
      </w:r>
      <w:r>
        <w:rPr>
          <w:rFonts w:ascii="Gill Sans MT" w:eastAsia="Gill Sans MT" w:hAnsi="Gill Sans MT" w:cs="Gill Sans MT"/>
          <w:color w:val="000000" w:themeColor="text1"/>
          <w:sz w:val="19"/>
          <w:szCs w:val="19"/>
          <w:lang w:val="de-DE"/>
        </w:rPr>
        <w:t xml:space="preserve"> </w:t>
      </w:r>
      <w:r>
        <w:rPr>
          <w:rFonts w:ascii="Calibri" w:eastAsia="Calibri" w:hAnsi="Calibri" w:cs="Calibri"/>
          <w:color w:val="000000" w:themeColor="text1"/>
          <w:sz w:val="19"/>
          <w:szCs w:val="19"/>
          <w:lang w:val="de-DE"/>
        </w:rPr>
        <w:t xml:space="preserve">         </w:t>
      </w:r>
    </w:p>
    <w:p w14:paraId="640985FC" w14:textId="77777777" w:rsidR="00FA4683" w:rsidRDefault="00DF428E">
      <w:pPr>
        <w:spacing w:before="100" w:beforeAutospacing="1" w:after="100" w:afterAutospacing="1" w:line="240" w:lineRule="auto"/>
        <w:jc w:val="both"/>
        <w:rPr>
          <w:rFonts w:ascii="Calibri" w:eastAsia="Calibri" w:hAnsi="Calibri" w:cs="Times New Roman"/>
          <w:color w:val="000000" w:themeColor="text1"/>
          <w:sz w:val="19"/>
          <w:szCs w:val="19"/>
          <w:lang w:val="de-DE"/>
        </w:rPr>
      </w:pPr>
      <w:r>
        <w:rPr>
          <w:noProof/>
          <w:lang w:val="de-DE"/>
        </w:rPr>
        <w:drawing>
          <wp:inline distT="0" distB="0" distL="0" distR="0" wp14:anchorId="066955DA" wp14:editId="120F339C">
            <wp:extent cx="190500" cy="190500"/>
            <wp:effectExtent l="0" t="0" r="0" b="0"/>
            <wp:docPr id="995078730" name="Grafik 995078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lang w:val="de-DE"/>
        </w:rPr>
        <w:drawing>
          <wp:inline distT="0" distB="0" distL="0" distR="0" wp14:anchorId="6C3BAFFA" wp14:editId="48DAEE86">
            <wp:extent cx="190500" cy="190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lang w:val="de-DE"/>
        </w:rPr>
        <w:drawing>
          <wp:inline distT="0" distB="0" distL="0" distR="0" wp14:anchorId="11FD6951" wp14:editId="41BE0BB6">
            <wp:extent cx="190500" cy="1905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lang w:val="de-DE"/>
        </w:rPr>
        <w:drawing>
          <wp:inline distT="0" distB="0" distL="0" distR="0" wp14:anchorId="32D4234E" wp14:editId="0F5B272E">
            <wp:extent cx="190500" cy="1905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5C65F906"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de-DE"/>
        </w:rPr>
        <w:t>CASE Construction Equipment vertreibt auf der ganzen Welt ein komplettes Angebot verschiedenster Baumaschinen, darunter Baggerlader (Marktführer), Raupen- und Mobilbagger, Motorgrader, Radlader, Kompaktlader, Raupenkompaktlader und Allweg Stapler.  Über da</w:t>
      </w:r>
      <w:r>
        <w:rPr>
          <w:rFonts w:ascii="Gill Sans MT" w:eastAsia="Gill Sans MT" w:hAnsi="Gill Sans MT" w:cs="Gill Sans MT"/>
          <w:i/>
          <w:iCs/>
          <w:color w:val="000000" w:themeColor="text1"/>
          <w:sz w:val="16"/>
          <w:szCs w:val="16"/>
          <w:lang w:val="de-DE"/>
        </w:rPr>
        <w:t>s internationale Händlernetz bietet CASE seinen Kunden eine professionelle Partnerschaft mit leistungsfähigen Maschinen und einem Kundendienst der Spitzenklasse, branchenführenden Garantieleistungen und flexiblen Finanzierungslösungen. Weitere Informatione</w:t>
      </w:r>
      <w:r>
        <w:rPr>
          <w:rFonts w:ascii="Gill Sans MT" w:eastAsia="Gill Sans MT" w:hAnsi="Gill Sans MT" w:cs="Gill Sans MT"/>
          <w:i/>
          <w:iCs/>
          <w:color w:val="000000" w:themeColor="text1"/>
          <w:sz w:val="16"/>
          <w:szCs w:val="16"/>
          <w:lang w:val="de-DE"/>
        </w:rPr>
        <w:t xml:space="preserve">n finden Sie unter </w:t>
      </w:r>
      <w:hyperlink r:id="rId17">
        <w:r>
          <w:rPr>
            <w:rStyle w:val="Hyperlink"/>
            <w:rFonts w:ascii="Gill Sans MT" w:eastAsia="Gill Sans MT" w:hAnsi="Gill Sans MT" w:cs="Gill Sans MT"/>
            <w:i/>
            <w:iCs/>
            <w:sz w:val="16"/>
            <w:szCs w:val="16"/>
            <w:lang w:val="de-DE"/>
          </w:rPr>
          <w:t>www.CASEce.com</w:t>
        </w:r>
      </w:hyperlink>
      <w:r>
        <w:rPr>
          <w:rFonts w:ascii="Gill Sans MT" w:eastAsia="Gill Sans MT" w:hAnsi="Gill Sans MT" w:cs="Gill Sans MT"/>
          <w:i/>
          <w:iCs/>
          <w:color w:val="000000" w:themeColor="text1"/>
          <w:sz w:val="16"/>
          <w:szCs w:val="16"/>
          <w:lang w:val="de-DE"/>
        </w:rPr>
        <w:t>.</w:t>
      </w:r>
    </w:p>
    <w:p w14:paraId="4F0F4B46" w14:textId="77777777" w:rsidR="00FA4683" w:rsidRDefault="00DF428E">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de-DE"/>
        </w:rPr>
        <w:lastRenderedPageBreak/>
        <w:t>CASE Construction Equipment ist eine Marke von CNH Industrial N.V., einem weltweit führenden Hersteller von Investitionsgütern. Das Unternehmen ist an der New Yorker Wertpapierbör</w:t>
      </w:r>
      <w:r>
        <w:rPr>
          <w:rFonts w:ascii="Gill Sans MT" w:eastAsia="Gill Sans MT" w:hAnsi="Gill Sans MT" w:cs="Gill Sans MT"/>
          <w:i/>
          <w:iCs/>
          <w:color w:val="000000" w:themeColor="text1"/>
          <w:sz w:val="16"/>
          <w:szCs w:val="16"/>
          <w:lang w:val="de-DE"/>
        </w:rPr>
        <w:t xml:space="preserve">se (NYSE: CNHI) und beim elektronischen Wertpapierhandel der Italienischen Börse (MI: CNHI) registriert. Weitere Informationen finden Sie online unter: </w:t>
      </w:r>
      <w:hyperlink r:id="rId18">
        <w:r>
          <w:rPr>
            <w:rStyle w:val="Hyperlink"/>
            <w:rFonts w:ascii="Gill Sans MT" w:eastAsia="Gill Sans MT" w:hAnsi="Gill Sans MT" w:cs="Gill Sans MT"/>
            <w:i/>
            <w:iCs/>
            <w:sz w:val="16"/>
            <w:szCs w:val="16"/>
            <w:lang w:val="de-DE"/>
          </w:rPr>
          <w:t>www.cnhindustrial.com</w:t>
        </w:r>
      </w:hyperlink>
      <w:r>
        <w:rPr>
          <w:rFonts w:ascii="Gill Sans MT" w:eastAsia="Gill Sans MT" w:hAnsi="Gill Sans MT" w:cs="Gill Sans MT"/>
          <w:i/>
          <w:iCs/>
          <w:color w:val="000000" w:themeColor="text1"/>
          <w:sz w:val="16"/>
          <w:szCs w:val="16"/>
          <w:lang w:val="de-DE"/>
        </w:rPr>
        <w:t>.</w:t>
      </w:r>
    </w:p>
    <w:p w14:paraId="18C78C15" w14:textId="77777777" w:rsidR="00FA4683" w:rsidRDefault="00DF428E">
      <w:pPr>
        <w:spacing w:after="0" w:line="240" w:lineRule="auto"/>
        <w:rPr>
          <w:rFonts w:ascii="Gill Sans MT" w:eastAsia="Gill Sans MT" w:hAnsi="Gill Sans MT" w:cs="Gill Sans MT"/>
          <w:color w:val="000000" w:themeColor="text1"/>
          <w:sz w:val="19"/>
          <w:szCs w:val="19"/>
          <w:lang w:val="de-DE"/>
        </w:rPr>
      </w:pPr>
      <w:r>
        <w:rPr>
          <w:rFonts w:ascii="Gill Sans MT" w:eastAsia="Gill Sans MT" w:hAnsi="Gill Sans MT" w:cs="Gill Sans MT"/>
          <w:b/>
          <w:bCs/>
          <w:color w:val="000000" w:themeColor="text1"/>
          <w:sz w:val="19"/>
          <w:szCs w:val="19"/>
          <w:lang w:val="de-DE"/>
        </w:rPr>
        <w:t>Weitere Informationen erhalten Sie hier:</w:t>
      </w:r>
    </w:p>
    <w:p w14:paraId="3A55B854" w14:textId="77777777" w:rsidR="00FA4683" w:rsidRDefault="00DF428E">
      <w:pPr>
        <w:spacing w:after="0" w:line="240" w:lineRule="auto"/>
        <w:rPr>
          <w:rFonts w:ascii="Gill Sans MT" w:eastAsia="Gill Sans MT" w:hAnsi="Gill Sans MT" w:cs="Gill Sans MT"/>
          <w:color w:val="000000" w:themeColor="text1"/>
          <w:sz w:val="19"/>
          <w:szCs w:val="19"/>
          <w:lang w:val="en-US"/>
        </w:rPr>
      </w:pPr>
      <w:r>
        <w:rPr>
          <w:rFonts w:ascii="Gill Sans MT" w:eastAsia="Gill Sans MT" w:hAnsi="Gill Sans MT" w:cs="Gill Sans MT"/>
          <w:color w:val="000000" w:themeColor="text1"/>
          <w:sz w:val="19"/>
          <w:szCs w:val="19"/>
          <w:lang w:val="en-US"/>
        </w:rPr>
        <w:t>Lutz Holthaus – Copestone on behalf of CASE Construction Equipment</w:t>
      </w:r>
    </w:p>
    <w:p w14:paraId="058D38EC" w14:textId="77777777" w:rsidR="00FA4683" w:rsidRDefault="00DF428E">
      <w:pPr>
        <w:spacing w:after="0" w:line="240" w:lineRule="auto"/>
        <w:rPr>
          <w:rFonts w:ascii="Gill Sans MT" w:eastAsia="Gill Sans MT" w:hAnsi="Gill Sans MT" w:cs="Gill Sans MT"/>
          <w:color w:val="000000" w:themeColor="text1"/>
          <w:sz w:val="19"/>
          <w:szCs w:val="19"/>
          <w:lang w:val="de-DE"/>
        </w:rPr>
      </w:pPr>
      <w:r>
        <w:rPr>
          <w:rFonts w:ascii="Gill Sans MT" w:eastAsia="Gill Sans MT" w:hAnsi="Gill Sans MT" w:cs="Gill Sans MT"/>
          <w:color w:val="000000" w:themeColor="text1"/>
          <w:sz w:val="19"/>
          <w:szCs w:val="19"/>
          <w:lang w:val="de-DE"/>
        </w:rPr>
        <w:t>+49 2392 913 465</w:t>
      </w:r>
    </w:p>
    <w:p w14:paraId="15CD7760" w14:textId="77777777" w:rsidR="00FA4683" w:rsidRDefault="00DF428E">
      <w:pPr>
        <w:spacing w:after="0" w:line="240" w:lineRule="auto"/>
        <w:rPr>
          <w:rFonts w:ascii="Gill Sans MT" w:hAnsi="Gill Sans MT" w:cs="Arial"/>
          <w:sz w:val="19"/>
          <w:szCs w:val="19"/>
          <w:lang w:val="de-DE" w:eastAsia="es-ES"/>
        </w:rPr>
      </w:pPr>
      <w:hyperlink r:id="rId19">
        <w:r>
          <w:rPr>
            <w:rStyle w:val="Hyperlink"/>
            <w:rFonts w:ascii="Gill Sans MT" w:eastAsia="Gill Sans MT" w:hAnsi="Gill Sans MT" w:cs="Gill Sans MT"/>
            <w:sz w:val="19"/>
            <w:szCs w:val="19"/>
            <w:lang w:val="de-DE"/>
          </w:rPr>
          <w:t>lutz@copestone.uk.com</w:t>
        </w:r>
      </w:hyperlink>
    </w:p>
    <w:sectPr w:rsidR="00FA4683">
      <w:headerReference w:type="default" r:id="rId20"/>
      <w:footerReference w:type="default" r:id="rId21"/>
      <w:headerReference w:type="first" r:id="rId22"/>
      <w:footerReference w:type="first" r:id="rId23"/>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B45BE" w14:textId="77777777" w:rsidR="00DF428E" w:rsidRDefault="00DF428E">
      <w:pPr>
        <w:spacing w:after="0" w:line="240" w:lineRule="auto"/>
      </w:pPr>
      <w:r>
        <w:separator/>
      </w:r>
    </w:p>
  </w:endnote>
  <w:endnote w:type="continuationSeparator" w:id="0">
    <w:p w14:paraId="4CC3B011" w14:textId="77777777" w:rsidR="00DF428E" w:rsidRDefault="00DF428E">
      <w:pPr>
        <w:spacing w:after="0" w:line="240" w:lineRule="auto"/>
      </w:pPr>
      <w:r>
        <w:continuationSeparator/>
      </w:r>
    </w:p>
  </w:endnote>
  <w:endnote w:type="continuationNotice" w:id="1">
    <w:p w14:paraId="47394ACE" w14:textId="77777777" w:rsidR="00DF428E" w:rsidRDefault="00DF42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D23E9" w14:textId="77777777" w:rsidR="00FA4683" w:rsidRDefault="00FA4683">
    <w:pPr>
      <w:pStyle w:val="Footer"/>
    </w:pPr>
  </w:p>
  <w:p w14:paraId="53579B7A" w14:textId="77777777" w:rsidR="00FA4683" w:rsidRDefault="00FA4683">
    <w:pPr>
      <w:pStyle w:val="Footer"/>
    </w:pPr>
  </w:p>
  <w:p w14:paraId="62F47E7F" w14:textId="77777777" w:rsidR="00FA4683" w:rsidRDefault="00FA4683">
    <w:pPr>
      <w:pStyle w:val="Footer"/>
    </w:pPr>
  </w:p>
  <w:p w14:paraId="58A5AC8C" w14:textId="77777777" w:rsidR="00FA4683" w:rsidRDefault="00FA46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3772" w14:textId="77777777" w:rsidR="00FA4683" w:rsidRDefault="00FA4683">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A104B" w14:textId="77777777" w:rsidR="00DF428E" w:rsidRDefault="00DF428E">
      <w:pPr>
        <w:spacing w:after="0" w:line="240" w:lineRule="auto"/>
      </w:pPr>
      <w:r>
        <w:separator/>
      </w:r>
    </w:p>
  </w:footnote>
  <w:footnote w:type="continuationSeparator" w:id="0">
    <w:p w14:paraId="6EA81C82" w14:textId="77777777" w:rsidR="00DF428E" w:rsidRDefault="00DF428E">
      <w:pPr>
        <w:spacing w:after="0" w:line="240" w:lineRule="auto"/>
      </w:pPr>
      <w:r>
        <w:continuationSeparator/>
      </w:r>
    </w:p>
  </w:footnote>
  <w:footnote w:type="continuationNotice" w:id="1">
    <w:p w14:paraId="27917E45" w14:textId="77777777" w:rsidR="00DF428E" w:rsidRDefault="00DF42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F591F" w14:textId="77777777" w:rsidR="00FA4683" w:rsidRDefault="00DF428E">
    <w:r>
      <w:rPr>
        <w:noProof/>
        <w:lang w:val="it-IT" w:eastAsia="zh-CN"/>
      </w:rPr>
      <w:drawing>
        <wp:anchor distT="0" distB="0" distL="114300" distR="114300" simplePos="0" relativeHeight="251658243" behindDoc="1" locked="0" layoutInCell="1" allowOverlap="1" wp14:anchorId="7F8C0BD8" wp14:editId="3AAF5C9F">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FA4683" w14:paraId="28194F60" w14:textId="77777777">
      <w:trPr>
        <w:trHeight w:val="735"/>
      </w:trPr>
      <w:tc>
        <w:tcPr>
          <w:tcW w:w="2614" w:type="dxa"/>
          <w:shd w:val="clear" w:color="auto" w:fill="auto"/>
          <w:vAlign w:val="bottom"/>
        </w:tcPr>
        <w:p w14:paraId="39363D7E" w14:textId="77777777" w:rsidR="00FA4683" w:rsidRDefault="00FA4683">
          <w:pPr>
            <w:pStyle w:val="04FOOTER"/>
            <w:ind w:right="-101"/>
          </w:pPr>
        </w:p>
      </w:tc>
      <w:tc>
        <w:tcPr>
          <w:tcW w:w="2835" w:type="dxa"/>
        </w:tcPr>
        <w:p w14:paraId="70E1EFD9" w14:textId="77777777" w:rsidR="00FA4683" w:rsidRDefault="00FA4683">
          <w:pPr>
            <w:pStyle w:val="04FOOTER"/>
            <w:ind w:right="-101"/>
          </w:pPr>
        </w:p>
        <w:p w14:paraId="26BB594F" w14:textId="77777777" w:rsidR="00FA4683" w:rsidRDefault="00FA4683">
          <w:pPr>
            <w:pStyle w:val="04FOOTER"/>
            <w:ind w:right="-101"/>
          </w:pPr>
        </w:p>
        <w:p w14:paraId="7C5E00BD" w14:textId="77777777" w:rsidR="00FA4683" w:rsidRDefault="00FA4683">
          <w:pPr>
            <w:pStyle w:val="04FOOTER"/>
            <w:ind w:right="-101"/>
          </w:pPr>
        </w:p>
        <w:p w14:paraId="3D4F5915" w14:textId="77777777" w:rsidR="00FA4683" w:rsidRDefault="00FA4683">
          <w:pPr>
            <w:pStyle w:val="04FOOTER"/>
            <w:ind w:right="-101"/>
          </w:pPr>
        </w:p>
      </w:tc>
    </w:tr>
  </w:tbl>
  <w:p w14:paraId="6E06DA0F" w14:textId="77777777" w:rsidR="00FA4683" w:rsidRDefault="00DF428E">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2" behindDoc="1" locked="0" layoutInCell="1" allowOverlap="1" wp14:anchorId="7481230A" wp14:editId="192A2A53">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4" behindDoc="1" locked="0" layoutInCell="1" allowOverlap="1" wp14:anchorId="01A67704" wp14:editId="6A30852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E85688" w14:textId="77777777" w:rsidR="00FA4683" w:rsidRDefault="00DF428E">
    <w:r>
      <w:rPr>
        <w:noProof/>
        <w:lang w:val="it-IT" w:eastAsia="zh-CN"/>
      </w:rPr>
      <w:drawing>
        <wp:anchor distT="0" distB="0" distL="114300" distR="114300" simplePos="0" relativeHeight="251658241" behindDoc="1" locked="0" layoutInCell="1" allowOverlap="1" wp14:anchorId="62712BEB" wp14:editId="2AAEBA41">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0" behindDoc="0" locked="0" layoutInCell="1" allowOverlap="1" wp14:anchorId="0C2C07F6" wp14:editId="103A32A0">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p14="http://schemas.microsoft.com/office/word/2010/wordml">
          <w:pict w14:anchorId="111E2F8A">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624116"/>
    <w:multiLevelType w:val="hybridMultilevel"/>
    <w:tmpl w:val="529A3624"/>
    <w:lvl w:ilvl="0" w:tplc="89ECA004">
      <w:start w:val="1"/>
      <w:numFmt w:val="bullet"/>
      <w:lvlText w:val=""/>
      <w:lvlJc w:val="left"/>
      <w:pPr>
        <w:ind w:left="720" w:hanging="360"/>
      </w:pPr>
      <w:rPr>
        <w:rFonts w:ascii="Symbol" w:hAnsi="Symbol" w:hint="default"/>
      </w:rPr>
    </w:lvl>
    <w:lvl w:ilvl="1" w:tplc="571E9258">
      <w:start w:val="1"/>
      <w:numFmt w:val="bullet"/>
      <w:lvlText w:val="o"/>
      <w:lvlJc w:val="left"/>
      <w:pPr>
        <w:ind w:left="1440" w:hanging="360"/>
      </w:pPr>
      <w:rPr>
        <w:rFonts w:ascii="Courier New" w:hAnsi="Courier New" w:hint="default"/>
      </w:rPr>
    </w:lvl>
    <w:lvl w:ilvl="2" w:tplc="9C4A5FD8">
      <w:start w:val="1"/>
      <w:numFmt w:val="bullet"/>
      <w:lvlText w:val=""/>
      <w:lvlJc w:val="left"/>
      <w:pPr>
        <w:ind w:left="2160" w:hanging="360"/>
      </w:pPr>
      <w:rPr>
        <w:rFonts w:ascii="Wingdings" w:hAnsi="Wingdings" w:hint="default"/>
      </w:rPr>
    </w:lvl>
    <w:lvl w:ilvl="3" w:tplc="70FA982A">
      <w:start w:val="1"/>
      <w:numFmt w:val="bullet"/>
      <w:lvlText w:val=""/>
      <w:lvlJc w:val="left"/>
      <w:pPr>
        <w:ind w:left="2880" w:hanging="360"/>
      </w:pPr>
      <w:rPr>
        <w:rFonts w:ascii="Symbol" w:hAnsi="Symbol" w:hint="default"/>
      </w:rPr>
    </w:lvl>
    <w:lvl w:ilvl="4" w:tplc="F21A77C4">
      <w:start w:val="1"/>
      <w:numFmt w:val="bullet"/>
      <w:lvlText w:val="o"/>
      <w:lvlJc w:val="left"/>
      <w:pPr>
        <w:ind w:left="3600" w:hanging="360"/>
      </w:pPr>
      <w:rPr>
        <w:rFonts w:ascii="Courier New" w:hAnsi="Courier New" w:hint="default"/>
      </w:rPr>
    </w:lvl>
    <w:lvl w:ilvl="5" w:tplc="015C8946">
      <w:start w:val="1"/>
      <w:numFmt w:val="bullet"/>
      <w:lvlText w:val=""/>
      <w:lvlJc w:val="left"/>
      <w:pPr>
        <w:ind w:left="4320" w:hanging="360"/>
      </w:pPr>
      <w:rPr>
        <w:rFonts w:ascii="Wingdings" w:hAnsi="Wingdings" w:hint="default"/>
      </w:rPr>
    </w:lvl>
    <w:lvl w:ilvl="6" w:tplc="CB80665C">
      <w:start w:val="1"/>
      <w:numFmt w:val="bullet"/>
      <w:lvlText w:val=""/>
      <w:lvlJc w:val="left"/>
      <w:pPr>
        <w:ind w:left="5040" w:hanging="360"/>
      </w:pPr>
      <w:rPr>
        <w:rFonts w:ascii="Symbol" w:hAnsi="Symbol" w:hint="default"/>
      </w:rPr>
    </w:lvl>
    <w:lvl w:ilvl="7" w:tplc="4DA065E4">
      <w:start w:val="1"/>
      <w:numFmt w:val="bullet"/>
      <w:lvlText w:val="o"/>
      <w:lvlJc w:val="left"/>
      <w:pPr>
        <w:ind w:left="5760" w:hanging="360"/>
      </w:pPr>
      <w:rPr>
        <w:rFonts w:ascii="Courier New" w:hAnsi="Courier New" w:hint="default"/>
      </w:rPr>
    </w:lvl>
    <w:lvl w:ilvl="8" w:tplc="7814171E">
      <w:start w:val="1"/>
      <w:numFmt w:val="bullet"/>
      <w:lvlText w:val=""/>
      <w:lvlJc w:val="left"/>
      <w:pPr>
        <w:ind w:left="6480" w:hanging="360"/>
      </w:pPr>
      <w:rPr>
        <w:rFonts w:ascii="Wingdings" w:hAnsi="Wingdings" w:hint="default"/>
      </w:rPr>
    </w:lvl>
  </w:abstractNum>
  <w:abstractNum w:abstractNumId="1"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2"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457260">
    <w:abstractNumId w:val="0"/>
  </w:num>
  <w:num w:numId="2" w16cid:durableId="603347692">
    <w:abstractNumId w:val="1"/>
  </w:num>
  <w:num w:numId="3" w16cid:durableId="284315641">
    <w:abstractNumId w:val="3"/>
  </w:num>
  <w:num w:numId="4" w16cid:durableId="805926045">
    <w:abstractNumId w:val="2"/>
  </w:num>
  <w:num w:numId="5" w16cid:durableId="20917322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FA4683"/>
    <w:rsid w:val="002C50B1"/>
    <w:rsid w:val="009F55A8"/>
    <w:rsid w:val="00DF428E"/>
    <w:rsid w:val="00FA4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8A03A"/>
  <w15:chartTrackingRefBased/>
  <w15:docId w15:val="{20ABBE16-1449-468E-9ADA-76AB7279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Pr>
      <w:rFonts w:eastAsiaTheme="minorEastAsia"/>
      <w:lang w:val="en-US" w:eastAsia="zh-CN"/>
    </w:rPr>
  </w:style>
  <w:style w:type="paragraph" w:customStyle="1" w:styleId="04FOOTER">
    <w:name w:val="04_FOOTER"/>
    <w:basedOn w:val="Normal"/>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DefaultParagraphFont"/>
  </w:style>
  <w:style w:type="paragraph" w:customStyle="1" w:styleId="01TESTO">
    <w:name w:val="01_TESTO"/>
    <w:basedOn w:val="Normal"/>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en-GB"/>
    </w:rPr>
  </w:style>
  <w:style w:type="paragraph" w:styleId="CommentText">
    <w:name w:val="annotation text"/>
    <w:basedOn w:val="Normal"/>
    <w:link w:val="CommentTextChar"/>
    <w:unhideWhenUsed/>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TableGrid">
    <w:name w:val="Table Grid"/>
    <w:aliases w:val="PIEDINO"/>
    <w:basedOn w:val="TableNormal"/>
    <w:uiPriority w:val="59"/>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Pr>
      <w:color w:val="605E5C"/>
      <w:shd w:val="clear" w:color="auto" w:fill="E1DFDD"/>
    </w:rPr>
  </w:style>
  <w:style w:type="paragraph" w:styleId="CommentSubject">
    <w:name w:val="annotation subject"/>
    <w:basedOn w:val="CommentText"/>
    <w:next w:val="CommentText"/>
    <w:link w:val="CommentSubjectChar"/>
    <w:uiPriority w:val="99"/>
    <w:semiHidden/>
    <w:unhideWhenUsed/>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Revision">
    <w:name w:val="Revision"/>
    <w:hidden/>
    <w:uiPriority w:val="99"/>
    <w:semiHidden/>
    <w:pPr>
      <w:spacing w:after="0" w:line="240" w:lineRule="auto"/>
    </w:pPr>
  </w:style>
  <w:style w:type="paragraph" w:customStyle="1" w:styleId="Body">
    <w:name w:val="Body"/>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file:///C:/Users/User/Dropbox/Nuria/AppData/Local/Microsoft/Windows/Temporary%20Internet%20Files/Content.Outlook/3POTRISZ/www.cnhindustrial.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www.casece.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lutz@copestone.uk.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9A9F19AC-1CDE-4DA1-AB85-1CA11825B427}"/>
</file>

<file path=customXml/itemProps3.xml><?xml version="1.0" encoding="utf-8"?>
<ds:datastoreItem xmlns:ds="http://schemas.openxmlformats.org/officeDocument/2006/customXml" ds:itemID="{0424FF0A-3F61-4A56-8F04-BBB85B48D338}">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9D522223-C69B-4027-AAE1-AFCDB51FD26F}">
  <ds:schemaRefs>
    <ds:schemaRef ds:uri="http://schemas.openxmlformats.org/officeDocument/2006/bibliography"/>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1909</Words>
  <Characters>10887</Characters>
  <Application>Microsoft Office Word</Application>
  <DocSecurity>0</DocSecurity>
  <Lines>90</Lines>
  <Paragraphs>25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8</cp:revision>
  <dcterms:created xsi:type="dcterms:W3CDTF">2022-05-03T08:19:00Z</dcterms:created>
  <dcterms:modified xsi:type="dcterms:W3CDTF">2022-05-03T14:33:00Z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F70038A,03/05/2022 09:09:06,GENERAL BUSINESS</vt:lpwstr>
  </property>
  <property fmtid="{D5CDD505-2E9C-101B-9397-08002B2CF9AE}" pid="10" name="bjClsUserRVM">
    <vt:lpwstr>[]</vt:lpwstr>
  </property>
</Properties>
</file>