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1F1C" w:rsidRPr="003A6CFE" w:rsidRDefault="00196F60" w:rsidP="00FB20AB">
      <w:pPr>
        <w:jc w:val="both"/>
      </w:pPr>
      <w:r w:rsidRPr="003A6CFE">
        <w:rPr>
          <w:b/>
          <w:sz w:val="22"/>
        </w:rPr>
        <w:t xml:space="preserve">CASE presenta una nueva gama de </w:t>
      </w:r>
      <w:proofErr w:type="spellStart"/>
      <w:r w:rsidRPr="003A6CFE">
        <w:rPr>
          <w:b/>
          <w:sz w:val="22"/>
        </w:rPr>
        <w:t>miniexcavadoras</w:t>
      </w:r>
      <w:proofErr w:type="spellEnd"/>
      <w:r w:rsidRPr="003A6CFE">
        <w:rPr>
          <w:b/>
          <w:sz w:val="22"/>
        </w:rPr>
        <w:t xml:space="preserve"> que eleva el listón en materia de productividad, confort y seguridad</w:t>
      </w:r>
    </w:p>
    <w:p w:rsidR="00D01F1C" w:rsidRDefault="00D01F1C" w:rsidP="00FB20AB">
      <w:pPr>
        <w:jc w:val="both"/>
      </w:pPr>
    </w:p>
    <w:p w:rsidR="00FB20AB" w:rsidRPr="003A6CFE" w:rsidRDefault="00FB20AB" w:rsidP="00FB20AB">
      <w:pPr>
        <w:jc w:val="both"/>
      </w:pPr>
    </w:p>
    <w:p w:rsidR="00D01F1C" w:rsidRPr="003A6CFE" w:rsidRDefault="000B6CF5" w:rsidP="000B6CF5">
      <w:pPr>
        <w:pStyle w:val="01TESTO"/>
        <w:shd w:val="clear" w:color="auto" w:fill="FFFFFF" w:themeFill="background1"/>
        <w:jc w:val="both"/>
      </w:pPr>
      <w:r w:rsidRPr="003A6CFE">
        <w:t>Turín, 19 de enero de 2017</w:t>
      </w:r>
    </w:p>
    <w:p w:rsidR="00D01F1C" w:rsidRPr="003A6CFE" w:rsidRDefault="00D01F1C" w:rsidP="0001567C">
      <w:pPr>
        <w:jc w:val="both"/>
      </w:pPr>
    </w:p>
    <w:p w:rsidR="001822D4" w:rsidRDefault="00A6684D" w:rsidP="00FB20AB">
      <w:pPr>
        <w:pStyle w:val="01TESTO"/>
        <w:jc w:val="both"/>
        <w:rPr>
          <w:color w:val="auto"/>
        </w:rPr>
      </w:pPr>
      <w:r w:rsidRPr="003A6CFE">
        <w:rPr>
          <w:color w:val="auto"/>
        </w:rPr>
        <w:t xml:space="preserve">CASE Construction Equipment ha lanzado hoy la nueva línea de </w:t>
      </w:r>
      <w:proofErr w:type="spellStart"/>
      <w:r w:rsidRPr="003A6CFE">
        <w:rPr>
          <w:color w:val="auto"/>
        </w:rPr>
        <w:t>miniexcavadoras</w:t>
      </w:r>
      <w:proofErr w:type="spellEnd"/>
      <w:r w:rsidRPr="003A6CFE">
        <w:rPr>
          <w:color w:val="auto"/>
        </w:rPr>
        <w:t xml:space="preserve"> Serie C con 6 modelos que van de 1,7 a 6,0 toneladas. Son los primeros productos de la nueva gama, que se ampliará con otros adicionales</w:t>
      </w:r>
      <w:r w:rsidR="00C00F6A">
        <w:rPr>
          <w:color w:val="auto"/>
        </w:rPr>
        <w:t xml:space="preserve"> a lo largo de 2017</w:t>
      </w:r>
      <w:r w:rsidRPr="003A6CFE">
        <w:rPr>
          <w:color w:val="auto"/>
        </w:rPr>
        <w:t>. La nueva Serie C eleva el listón en comparación con la ga</w:t>
      </w:r>
      <w:r w:rsidR="00C00F6A">
        <w:rPr>
          <w:color w:val="auto"/>
        </w:rPr>
        <w:t>ma anterior, al ofrecer un mejor</w:t>
      </w:r>
      <w:r w:rsidRPr="003A6CFE">
        <w:rPr>
          <w:color w:val="auto"/>
        </w:rPr>
        <w:t xml:space="preserve"> rendimiento, una </w:t>
      </w:r>
      <w:r w:rsidR="00C00F6A">
        <w:rPr>
          <w:color w:val="auto"/>
        </w:rPr>
        <w:t>gran</w:t>
      </w:r>
      <w:r w:rsidRPr="003A6CFE">
        <w:rPr>
          <w:color w:val="auto"/>
        </w:rPr>
        <w:t xml:space="preserve"> variedad de características e incluso más confort y seguridad, todo lo cual contribuye a conseguir una productividad excelente.</w:t>
      </w:r>
    </w:p>
    <w:p w:rsidR="001822D4" w:rsidRDefault="001822D4" w:rsidP="00FB20AB">
      <w:pPr>
        <w:pStyle w:val="01TESTO"/>
        <w:jc w:val="both"/>
        <w:rPr>
          <w:color w:val="auto"/>
        </w:rPr>
      </w:pPr>
    </w:p>
    <w:p w:rsidR="00E11F0A" w:rsidRPr="003A6CFE" w:rsidRDefault="00E11F0A" w:rsidP="00FB20AB">
      <w:pPr>
        <w:pStyle w:val="01TESTO"/>
        <w:jc w:val="both"/>
        <w:rPr>
          <w:color w:val="auto"/>
        </w:rPr>
      </w:pPr>
      <w:r w:rsidRPr="003A6CFE">
        <w:rPr>
          <w:color w:val="auto"/>
        </w:rPr>
        <w:t xml:space="preserve">Gastón Le </w:t>
      </w:r>
      <w:proofErr w:type="spellStart"/>
      <w:r w:rsidRPr="003A6CFE">
        <w:rPr>
          <w:color w:val="auto"/>
        </w:rPr>
        <w:t>Chevalier</w:t>
      </w:r>
      <w:proofErr w:type="spellEnd"/>
      <w:r w:rsidRPr="003A6CFE">
        <w:rPr>
          <w:color w:val="auto"/>
        </w:rPr>
        <w:t xml:space="preserve"> de la </w:t>
      </w:r>
      <w:proofErr w:type="spellStart"/>
      <w:r w:rsidRPr="003A6CFE">
        <w:rPr>
          <w:color w:val="auto"/>
        </w:rPr>
        <w:t>Sauzaye</w:t>
      </w:r>
      <w:proofErr w:type="spellEnd"/>
      <w:r w:rsidRPr="003A6CFE">
        <w:rPr>
          <w:color w:val="auto"/>
        </w:rPr>
        <w:t xml:space="preserve">, Director de Marketing de Productos CASE para </w:t>
      </w:r>
      <w:proofErr w:type="spellStart"/>
      <w:r w:rsidRPr="003A6CFE">
        <w:rPr>
          <w:color w:val="auto"/>
        </w:rPr>
        <w:t>miniexcavadoras</w:t>
      </w:r>
      <w:proofErr w:type="spellEnd"/>
      <w:r w:rsidRPr="003A6CFE">
        <w:rPr>
          <w:color w:val="auto"/>
        </w:rPr>
        <w:t xml:space="preserve">, comenta: «Las </w:t>
      </w:r>
      <w:proofErr w:type="spellStart"/>
      <w:r w:rsidRPr="003A6CFE">
        <w:rPr>
          <w:color w:val="auto"/>
        </w:rPr>
        <w:t>miniexcavadoras</w:t>
      </w:r>
      <w:proofErr w:type="spellEnd"/>
      <w:r w:rsidRPr="003A6CFE">
        <w:rPr>
          <w:color w:val="auto"/>
        </w:rPr>
        <w:t xml:space="preserve"> son una línea de productos esencial para el sector de la construcción: representan el mayor volumen de ventas</w:t>
      </w:r>
      <w:r w:rsidR="00C00F6A">
        <w:rPr>
          <w:color w:val="auto"/>
        </w:rPr>
        <w:t xml:space="preserve"> del sector</w:t>
      </w:r>
      <w:r w:rsidRPr="003A6CFE">
        <w:rPr>
          <w:color w:val="auto"/>
        </w:rPr>
        <w:t xml:space="preserve">, con </w:t>
      </w:r>
      <w:r w:rsidR="00C00F6A">
        <w:rPr>
          <w:color w:val="auto"/>
        </w:rPr>
        <w:t>53.000 unidades en Europa</w:t>
      </w:r>
      <w:r w:rsidRPr="003A6CFE">
        <w:rPr>
          <w:color w:val="auto"/>
        </w:rPr>
        <w:t xml:space="preserve">, y </w:t>
      </w:r>
      <w:r w:rsidR="00C00F6A">
        <w:rPr>
          <w:color w:val="auto"/>
        </w:rPr>
        <w:t>el mercado va aumentando todos los años</w:t>
      </w:r>
      <w:r w:rsidRPr="003A6CFE">
        <w:rPr>
          <w:color w:val="auto"/>
        </w:rPr>
        <w:t xml:space="preserve">. Con la nueva gama Serie C, ofrecemos a los clientes lo que estos nos indican </w:t>
      </w:r>
      <w:r w:rsidR="008B1353">
        <w:rPr>
          <w:color w:val="auto"/>
        </w:rPr>
        <w:t xml:space="preserve">como más necesario </w:t>
      </w:r>
      <w:r w:rsidRPr="003A6CFE">
        <w:rPr>
          <w:color w:val="auto"/>
        </w:rPr>
        <w:t>de esta línea de productos para su negocio: productividad, confort y seguridad excelentes».</w:t>
      </w:r>
    </w:p>
    <w:p w:rsidR="00BA4EA6" w:rsidRPr="003A6CFE" w:rsidRDefault="00BA4EA6" w:rsidP="00FB20AB">
      <w:pPr>
        <w:pStyle w:val="01TESTO"/>
        <w:jc w:val="both"/>
        <w:rPr>
          <w:color w:val="auto"/>
        </w:rPr>
      </w:pPr>
    </w:p>
    <w:p w:rsidR="00463B08" w:rsidRPr="003A6CFE" w:rsidRDefault="00D63F55" w:rsidP="00FB20AB">
      <w:pPr>
        <w:pStyle w:val="01TESTO"/>
        <w:jc w:val="both"/>
        <w:rPr>
          <w:color w:val="auto"/>
        </w:rPr>
      </w:pPr>
      <w:r w:rsidRPr="003A6CFE">
        <w:rPr>
          <w:color w:val="auto"/>
        </w:rPr>
        <w:t xml:space="preserve">La nueva Serie C de </w:t>
      </w:r>
      <w:proofErr w:type="spellStart"/>
      <w:r w:rsidRPr="003A6CFE">
        <w:rPr>
          <w:color w:val="auto"/>
        </w:rPr>
        <w:t>miniexcavadoras</w:t>
      </w:r>
      <w:proofErr w:type="spellEnd"/>
      <w:r w:rsidRPr="003A6CFE">
        <w:rPr>
          <w:color w:val="auto"/>
        </w:rPr>
        <w:t xml:space="preserve"> representa los primeros productos resultantes de la alianza estratégica con HHI. </w:t>
      </w:r>
      <w:r w:rsidRPr="003A6CFE">
        <w:t xml:space="preserve">Los modelos de 5,7 y 6,0 toneladas que se presentan hoy se producen en las instalaciones de nuestro socio, mientras que el Centro para excavadoras de San Mauro, en Italia, monta los cuatro nuevos modelos de menos de 5 toneladas para mercados </w:t>
      </w:r>
      <w:r w:rsidR="008B1353">
        <w:t>de todo el mundo</w:t>
      </w:r>
      <w:r w:rsidRPr="003A6CFE">
        <w:t>.</w:t>
      </w:r>
    </w:p>
    <w:p w:rsidR="00463B08" w:rsidRPr="003A6CFE" w:rsidRDefault="00463B08" w:rsidP="00FB20AB">
      <w:pPr>
        <w:pStyle w:val="01TESTO"/>
        <w:jc w:val="both"/>
        <w:rPr>
          <w:color w:val="auto"/>
        </w:rPr>
      </w:pPr>
    </w:p>
    <w:p w:rsidR="00736861" w:rsidRPr="003A6CFE" w:rsidRDefault="004925F9" w:rsidP="00FB20AB">
      <w:pPr>
        <w:pStyle w:val="01TESTO"/>
        <w:jc w:val="both"/>
        <w:rPr>
          <w:color w:val="auto"/>
        </w:rPr>
      </w:pPr>
      <w:r w:rsidRPr="003A6CFE">
        <w:rPr>
          <w:b/>
          <w:color w:val="auto"/>
        </w:rPr>
        <w:t>La nueva Serie C ofrece más fia</w:t>
      </w:r>
      <w:bookmarkStart w:id="0" w:name="_GoBack"/>
      <w:bookmarkEnd w:id="0"/>
      <w:r w:rsidRPr="003A6CFE">
        <w:rPr>
          <w:b/>
          <w:color w:val="auto"/>
        </w:rPr>
        <w:t>bilidad, más productividad y características que aumentan la seguridad</w:t>
      </w:r>
    </w:p>
    <w:p w:rsidR="005B06CD" w:rsidRPr="003A6CFE" w:rsidRDefault="00941BBA" w:rsidP="00FB20AB">
      <w:pPr>
        <w:pStyle w:val="01TESTO"/>
        <w:jc w:val="both"/>
        <w:rPr>
          <w:color w:val="auto"/>
        </w:rPr>
      </w:pPr>
      <w:r w:rsidRPr="003A6CFE">
        <w:t xml:space="preserve">La Serie C de </w:t>
      </w:r>
      <w:proofErr w:type="spellStart"/>
      <w:r w:rsidRPr="003A6CFE">
        <w:t>miniexcavadoras</w:t>
      </w:r>
      <w:proofErr w:type="spellEnd"/>
      <w:r w:rsidRPr="003A6CFE">
        <w:t xml:space="preserve"> está diseñada para ofrecer gran rendimiento y fiabilidad a partir de componentes suministrados por los mejores proveedores japoneses de categoría mundial.</w:t>
      </w:r>
      <w:r w:rsidRPr="003A6CFE">
        <w:rPr>
          <w:color w:val="auto"/>
        </w:rPr>
        <w:t xml:space="preserve"> Lo</w:t>
      </w:r>
      <w:r w:rsidR="00454A9E">
        <w:rPr>
          <w:color w:val="auto"/>
        </w:rPr>
        <w:t>s acreditados motores y sistema hidráulico</w:t>
      </w:r>
      <w:r w:rsidRPr="003A6CFE">
        <w:rPr>
          <w:color w:val="auto"/>
        </w:rPr>
        <w:t xml:space="preserve"> ofrecen más potencia, lo que eleva el rendimiento de las máquinas. Cinco de los seis nuevos modelos cumplen la norma de emisiones </w:t>
      </w:r>
      <w:proofErr w:type="spellStart"/>
      <w:r w:rsidRPr="003A6CFE">
        <w:rPr>
          <w:color w:val="auto"/>
        </w:rPr>
        <w:t>Tier</w:t>
      </w:r>
      <w:proofErr w:type="spellEnd"/>
      <w:r w:rsidRPr="003A6CFE">
        <w:rPr>
          <w:color w:val="auto"/>
        </w:rPr>
        <w:t xml:space="preserve"> 4 Final.</w:t>
      </w:r>
    </w:p>
    <w:p w:rsidR="005B06CD" w:rsidRPr="003A6CFE" w:rsidRDefault="005B06CD" w:rsidP="00FB20AB">
      <w:pPr>
        <w:pStyle w:val="01TESTO"/>
        <w:jc w:val="both"/>
        <w:rPr>
          <w:color w:val="auto"/>
        </w:rPr>
      </w:pPr>
    </w:p>
    <w:p w:rsidR="00463B08" w:rsidRPr="003A6CFE" w:rsidRDefault="005B06CD" w:rsidP="00FB20AB">
      <w:pPr>
        <w:pStyle w:val="01TESTO"/>
        <w:jc w:val="both"/>
        <w:rPr>
          <w:color w:val="auto"/>
        </w:rPr>
      </w:pPr>
      <w:r w:rsidRPr="003A6CFE">
        <w:rPr>
          <w:color w:val="auto"/>
        </w:rPr>
        <w:t xml:space="preserve">Las nuevas </w:t>
      </w:r>
      <w:proofErr w:type="spellStart"/>
      <w:r w:rsidRPr="003A6CFE">
        <w:rPr>
          <w:color w:val="auto"/>
        </w:rPr>
        <w:t>miniexcavadoras</w:t>
      </w:r>
      <w:proofErr w:type="spellEnd"/>
      <w:r w:rsidRPr="003A6CFE">
        <w:rPr>
          <w:color w:val="auto"/>
        </w:rPr>
        <w:t xml:space="preserve"> </w:t>
      </w:r>
      <w:r w:rsidR="00454A9E">
        <w:rPr>
          <w:color w:val="auto"/>
        </w:rPr>
        <w:t>están repletas de</w:t>
      </w:r>
      <w:r w:rsidRPr="003A6CFE">
        <w:rPr>
          <w:color w:val="auto"/>
        </w:rPr>
        <w:t xml:space="preserve"> numerosas características que hacen el trabajo del operador más fácil, cómodo y productivo. Entre ellas se incluyen el nuevo cuadro de instrumentos digital de lectura fácil, con información útil y luces de aviso; el sistema antirrobo estándar de limitación de arranque del motor (ESL, por sus siglas en inglés); el enganche rápido hidráulico para un rápido cambio de los implementos y la bomba de repostaje eléctrica, entre muchas otras.</w:t>
      </w:r>
    </w:p>
    <w:p w:rsidR="00B1137C" w:rsidRPr="003A6CFE" w:rsidRDefault="00B1137C" w:rsidP="00FB20AB">
      <w:pPr>
        <w:pStyle w:val="01TESTO"/>
        <w:jc w:val="both"/>
        <w:rPr>
          <w:color w:val="auto"/>
        </w:rPr>
      </w:pPr>
    </w:p>
    <w:p w:rsidR="00B1137C" w:rsidRPr="003A6CFE" w:rsidRDefault="00B1137C" w:rsidP="00FB20AB">
      <w:pPr>
        <w:pStyle w:val="01TESTO"/>
        <w:jc w:val="both"/>
        <w:rPr>
          <w:color w:val="auto"/>
        </w:rPr>
      </w:pPr>
      <w:r w:rsidRPr="003A6CFE">
        <w:rPr>
          <w:color w:val="auto"/>
        </w:rPr>
        <w:lastRenderedPageBreak/>
        <w:t>La seguridad es una prioridad para CASE, y la Serie C no escatima en este sentido. Son características de seguridad el cumplimiento de los sistemas ROPS, TOPS y FOPS, el interruptor de parada de emergencia, la alarma de desplazamiento y el kit para manejo de objetos.</w:t>
      </w:r>
      <w:r w:rsidR="00454A9E">
        <w:rPr>
          <w:color w:val="auto"/>
        </w:rPr>
        <w:t xml:space="preserve"> Las válvulas de seguridad impiden que la carga resbale en caso de fallo de la manguera.</w:t>
      </w:r>
      <w:r w:rsidRPr="003A6CFE">
        <w:rPr>
          <w:color w:val="auto"/>
        </w:rPr>
        <w:t xml:space="preserve"> El sistema de pilotaje con acumulador permite al operador depositar los implementos de forma segura aun con el motor apagado. Los rodillos con doble brida minimizan el riesgo de rotura de la cadena y mejoran la estabilidad. La excelente visibilidad desde todos los ángulos y la cámara de visión trasera mejoran aún más la seguridad en el lugar de trabajo.</w:t>
      </w:r>
    </w:p>
    <w:p w:rsidR="00463B08" w:rsidRPr="003A6CFE" w:rsidRDefault="00463B08" w:rsidP="00FB20AB">
      <w:pPr>
        <w:pStyle w:val="01TESTO"/>
        <w:jc w:val="both"/>
        <w:rPr>
          <w:color w:val="auto"/>
        </w:rPr>
      </w:pPr>
    </w:p>
    <w:p w:rsidR="00113BBD" w:rsidRPr="003A6CFE" w:rsidRDefault="00662AF5" w:rsidP="00FB20AB">
      <w:pPr>
        <w:pStyle w:val="01TESTO"/>
        <w:jc w:val="both"/>
        <w:rPr>
          <w:color w:val="auto"/>
        </w:rPr>
      </w:pPr>
      <w:r w:rsidRPr="003A6CFE">
        <w:rPr>
          <w:b/>
          <w:color w:val="auto"/>
        </w:rPr>
        <w:t>CX17C y CX18C: agilidad en movimiento</w:t>
      </w:r>
    </w:p>
    <w:p w:rsidR="005D2A71" w:rsidRPr="003A6CFE" w:rsidRDefault="00113BBD" w:rsidP="00FB20AB">
      <w:pPr>
        <w:pStyle w:val="01TESTO"/>
        <w:jc w:val="both"/>
        <w:rPr>
          <w:color w:val="auto"/>
        </w:rPr>
      </w:pPr>
      <w:r w:rsidRPr="003A6CFE">
        <w:rPr>
          <w:color w:val="auto"/>
        </w:rPr>
        <w:t xml:space="preserve">Estos dos modelos son la solución perfecta para los clientes que buscan las mejores máquinas para trabajar en espacios reducidos. </w:t>
      </w:r>
      <w:r w:rsidRPr="0068715E">
        <w:rPr>
          <w:color w:val="000000" w:themeColor="text1"/>
        </w:rPr>
        <w:t>L</w:t>
      </w:r>
      <w:r w:rsidR="003A7844" w:rsidRPr="0068715E">
        <w:rPr>
          <w:color w:val="000000" w:themeColor="text1"/>
        </w:rPr>
        <w:t>a</w:t>
      </w:r>
      <w:r w:rsidRPr="0068715E">
        <w:rPr>
          <w:color w:val="000000" w:themeColor="text1"/>
        </w:rPr>
        <w:t xml:space="preserve"> C</w:t>
      </w:r>
      <w:r w:rsidRPr="003A6CFE">
        <w:rPr>
          <w:color w:val="auto"/>
        </w:rPr>
        <w:t>X17C ofrece una productividad, confort y seguridad inigualables en su categoría. La CX18C destaca por su potente rendimiento, su gama de trabajo y todas las características que ofrece en este segmento altamente competitivo.</w:t>
      </w:r>
    </w:p>
    <w:p w:rsidR="00113BBD" w:rsidRPr="003A6CFE" w:rsidRDefault="00113BBD" w:rsidP="00FB20AB">
      <w:pPr>
        <w:pStyle w:val="01TESTO"/>
        <w:jc w:val="both"/>
        <w:rPr>
          <w:color w:val="auto"/>
        </w:rPr>
      </w:pPr>
    </w:p>
    <w:p w:rsidR="00336C6F" w:rsidRPr="003A6CFE" w:rsidRDefault="006406D5" w:rsidP="00FB20AB">
      <w:pPr>
        <w:pStyle w:val="01TESTO"/>
        <w:jc w:val="both"/>
        <w:rPr>
          <w:color w:val="auto"/>
        </w:rPr>
      </w:pPr>
      <w:r w:rsidRPr="003A6CFE">
        <w:rPr>
          <w:color w:val="auto"/>
        </w:rPr>
        <w:t xml:space="preserve">Ambos modelos destacan por sus dimensiones compactas, que les permiten trabajar de forma eficiente y con gran agilidad en los puntos más estrechos. Llevan cadenas retráctiles hidráulicamente con enrutamiento interior de mangueras hidráulicas: al </w:t>
      </w:r>
      <w:r w:rsidR="003A6CFE" w:rsidRPr="003A6CFE">
        <w:rPr>
          <w:color w:val="auto"/>
        </w:rPr>
        <w:t>retraerse</w:t>
      </w:r>
      <w:r w:rsidRPr="003A6CFE">
        <w:rPr>
          <w:color w:val="auto"/>
        </w:rPr>
        <w:t xml:space="preserve"> las cadenas, la anchura de las má</w:t>
      </w:r>
      <w:r w:rsidR="00561387">
        <w:rPr>
          <w:color w:val="auto"/>
        </w:rPr>
        <w:t xml:space="preserve">quinas se reduce a menos de un </w:t>
      </w:r>
      <w:r w:rsidRPr="003A6CFE">
        <w:rPr>
          <w:color w:val="auto"/>
        </w:rPr>
        <w:t xml:space="preserve">metro de ancho. La CX17C presenta un diseño con </w:t>
      </w:r>
      <w:r w:rsidR="00494ADF" w:rsidRPr="005B41D7">
        <w:rPr>
          <w:color w:val="auto"/>
        </w:rPr>
        <w:t xml:space="preserve">radio de </w:t>
      </w:r>
      <w:r w:rsidRPr="005B41D7">
        <w:rPr>
          <w:color w:val="auto"/>
        </w:rPr>
        <w:t>giro</w:t>
      </w:r>
      <w:r w:rsidRPr="003A6CFE">
        <w:rPr>
          <w:color w:val="auto"/>
        </w:rPr>
        <w:t xml:space="preserve"> cero, que evita todo riesgo de golpear un obstáculo con la parte trasera al girar, lo que la hace efectiva y segura en la mayoría de espacios reducidos.</w:t>
      </w:r>
    </w:p>
    <w:p w:rsidR="00F8183D" w:rsidRPr="003A6CFE" w:rsidRDefault="00F8183D" w:rsidP="00FB20AB">
      <w:pPr>
        <w:pStyle w:val="01TESTO"/>
        <w:jc w:val="both"/>
        <w:rPr>
          <w:color w:val="auto"/>
        </w:rPr>
      </w:pPr>
    </w:p>
    <w:p w:rsidR="005D2A71" w:rsidRPr="003A6CFE" w:rsidRDefault="0057356A" w:rsidP="00FB20AB">
      <w:pPr>
        <w:pStyle w:val="01TESTO"/>
        <w:jc w:val="both"/>
        <w:rPr>
          <w:color w:val="auto"/>
        </w:rPr>
      </w:pPr>
      <w:r w:rsidRPr="003A6CFE">
        <w:rPr>
          <w:color w:val="auto"/>
        </w:rPr>
        <w:t>Las CX17C y CX18C garantizan rapidez en el trabajo. Su potente flujo hidráulico ofrece una eficiencia de excavación excelente (un 5 % más que los modelos previos) y ciclos rápidos. La función de cambio automático a una marcha más corta en la CX17C, que optimiza la tracción y la velocidad, y el sistema hidráulico auxiliar controlado mediante joystick permiten al operador realizar el trabajo aún con más rapidez.</w:t>
      </w:r>
      <w:r w:rsidR="003A6CFE">
        <w:rPr>
          <w:color w:val="auto"/>
        </w:rPr>
        <w:t xml:space="preserve"> </w:t>
      </w:r>
    </w:p>
    <w:p w:rsidR="00AD6CE6" w:rsidRPr="003A6CFE" w:rsidRDefault="00AD6CE6" w:rsidP="00FB20AB">
      <w:pPr>
        <w:pStyle w:val="01TESTO"/>
        <w:jc w:val="both"/>
        <w:rPr>
          <w:color w:val="auto"/>
        </w:rPr>
      </w:pPr>
    </w:p>
    <w:p w:rsidR="00AD6CE6" w:rsidRPr="003A6CFE" w:rsidRDefault="00AD6CE6" w:rsidP="00FB20AB">
      <w:pPr>
        <w:pStyle w:val="01TESTO"/>
        <w:jc w:val="both"/>
        <w:rPr>
          <w:color w:val="auto"/>
        </w:rPr>
      </w:pPr>
      <w:r w:rsidRPr="003A6CFE">
        <w:rPr>
          <w:color w:val="auto"/>
        </w:rPr>
        <w:t xml:space="preserve">La estación del operador ofrece </w:t>
      </w:r>
      <w:r w:rsidRPr="005B41D7">
        <w:rPr>
          <w:color w:val="auto"/>
        </w:rPr>
        <w:t>un</w:t>
      </w:r>
      <w:r w:rsidRPr="003A6CFE">
        <w:rPr>
          <w:color w:val="auto"/>
        </w:rPr>
        <w:t xml:space="preserve"> gran confort, con mandos de manejo suave, joysticks colocados de forma ergonómica, repos</w:t>
      </w:r>
      <w:r w:rsidR="00561387">
        <w:rPr>
          <w:color w:val="auto"/>
        </w:rPr>
        <w:t>amuñecas ajustables y asiento con</w:t>
      </w:r>
      <w:r w:rsidRPr="003A6CFE">
        <w:rPr>
          <w:color w:val="auto"/>
        </w:rPr>
        <w:t xml:space="preserve"> suspensión </w:t>
      </w:r>
      <w:r w:rsidR="00561387">
        <w:rPr>
          <w:color w:val="auto"/>
        </w:rPr>
        <w:t>de serie</w:t>
      </w:r>
      <w:r w:rsidRPr="003A6CFE">
        <w:rPr>
          <w:color w:val="auto"/>
        </w:rPr>
        <w:t>.</w:t>
      </w:r>
    </w:p>
    <w:p w:rsidR="00113BBD" w:rsidRPr="003A6CFE" w:rsidRDefault="00113BBD" w:rsidP="00FB20AB">
      <w:pPr>
        <w:pStyle w:val="01TESTO"/>
        <w:jc w:val="both"/>
        <w:rPr>
          <w:color w:val="auto"/>
        </w:rPr>
      </w:pPr>
    </w:p>
    <w:p w:rsidR="004543CA" w:rsidRPr="003A6CFE" w:rsidRDefault="00C63D71" w:rsidP="00FB20AB">
      <w:pPr>
        <w:pStyle w:val="01TESTO"/>
        <w:keepNext/>
        <w:jc w:val="both"/>
        <w:rPr>
          <w:color w:val="auto"/>
        </w:rPr>
      </w:pPr>
      <w:r w:rsidRPr="003A6CFE">
        <w:rPr>
          <w:b/>
          <w:color w:val="auto"/>
        </w:rPr>
        <w:t>CX26C y CX37C: versatilidad en movimiento</w:t>
      </w:r>
    </w:p>
    <w:p w:rsidR="00C63D71" w:rsidRPr="003A6CFE" w:rsidRDefault="004543CA" w:rsidP="00FB20AB">
      <w:pPr>
        <w:pStyle w:val="01TESTO"/>
        <w:jc w:val="both"/>
        <w:rPr>
          <w:color w:val="auto"/>
        </w:rPr>
      </w:pPr>
      <w:r w:rsidRPr="003A6CFE">
        <w:rPr>
          <w:color w:val="auto"/>
        </w:rPr>
        <w:t xml:space="preserve">Los modelos de 2,6 y 3,7 toneladas destacan por </w:t>
      </w:r>
      <w:r w:rsidR="00561387">
        <w:rPr>
          <w:color w:val="auto"/>
        </w:rPr>
        <w:t>una</w:t>
      </w:r>
      <w:r w:rsidRPr="003A6CFE">
        <w:rPr>
          <w:color w:val="auto"/>
        </w:rPr>
        <w:t xml:space="preserve"> excelente gama de trabajo, </w:t>
      </w:r>
      <w:r w:rsidR="00561387">
        <w:rPr>
          <w:color w:val="auto"/>
        </w:rPr>
        <w:t xml:space="preserve">por el </w:t>
      </w:r>
      <w:r w:rsidRPr="003A6CFE">
        <w:rPr>
          <w:color w:val="auto"/>
        </w:rPr>
        <w:t xml:space="preserve">mejor alcance y profundidad de excavación de su clase y </w:t>
      </w:r>
      <w:r w:rsidR="00561387">
        <w:rPr>
          <w:color w:val="auto"/>
        </w:rPr>
        <w:t xml:space="preserve">por los </w:t>
      </w:r>
      <w:r w:rsidRPr="003A6CFE">
        <w:rPr>
          <w:color w:val="auto"/>
        </w:rPr>
        <w:t>amplios ángulos de giro de la pluma. Están disponibles con una selección de brazos largos y cortos, que ofrecen una profundidad de excavación máxima de 2.645 y 2.420</w:t>
      </w:r>
      <w:r w:rsidR="00696028">
        <w:rPr>
          <w:color w:val="auto"/>
        </w:rPr>
        <w:t xml:space="preserve"> </w:t>
      </w:r>
      <w:r w:rsidRPr="003A6CFE">
        <w:rPr>
          <w:color w:val="auto"/>
        </w:rPr>
        <w:t xml:space="preserve">mm respectivamente para la CX26C, y 3.440 y 3.135 mm respectivamente para la CX37C. </w:t>
      </w:r>
    </w:p>
    <w:p w:rsidR="004543CA" w:rsidRPr="003A6CFE" w:rsidRDefault="004543CA" w:rsidP="00FB20AB">
      <w:pPr>
        <w:pStyle w:val="01TESTO"/>
        <w:jc w:val="both"/>
        <w:rPr>
          <w:color w:val="auto"/>
        </w:rPr>
      </w:pPr>
    </w:p>
    <w:p w:rsidR="004543CA" w:rsidRPr="003A6CFE" w:rsidRDefault="004543CA" w:rsidP="00FB20AB">
      <w:pPr>
        <w:pStyle w:val="01TESTO"/>
        <w:jc w:val="both"/>
        <w:rPr>
          <w:color w:val="auto"/>
        </w:rPr>
      </w:pPr>
      <w:r w:rsidRPr="003A6CFE">
        <w:rPr>
          <w:color w:val="auto"/>
        </w:rPr>
        <w:t>Los dos modelos vienen con una amplia oferta de características: además de la elección de la longitud del brazo, están disponibles con distintos contrapesos y con cadenas de caucho</w:t>
      </w:r>
      <w:r w:rsidR="00561387">
        <w:rPr>
          <w:color w:val="auto"/>
        </w:rPr>
        <w:t>. Hay cadenas de</w:t>
      </w:r>
      <w:r w:rsidRPr="003A6CFE">
        <w:rPr>
          <w:color w:val="auto"/>
        </w:rPr>
        <w:t xml:space="preserve"> acero</w:t>
      </w:r>
      <w:r w:rsidR="00561387">
        <w:rPr>
          <w:color w:val="auto"/>
        </w:rPr>
        <w:t xml:space="preserve"> disponibles para la CX37C</w:t>
      </w:r>
      <w:r w:rsidRPr="003A6CFE">
        <w:rPr>
          <w:color w:val="auto"/>
        </w:rPr>
        <w:t>. El equipamiento estándar incluye un interruptor de parada de emergencia, sistema piloto con acumulador, dos velocidades de desplazamiento con sistema de cambio automático a una marcha más corta, pedal de giro de pluma plegable, sistema ESL antirrobo estándar, punto de engrase centralizado y cuadro de instrumentos digital hermético. El primero y segundo sistemas hidráulicos auxiliares controlados mediante joystick permiten usar una gran variedad de implementos que se ofrecen en una amplia gama integrada para estos versátiles modelos.</w:t>
      </w:r>
    </w:p>
    <w:p w:rsidR="00835F22" w:rsidRPr="003A6CFE" w:rsidRDefault="00835F22" w:rsidP="00FB20AB">
      <w:pPr>
        <w:pStyle w:val="01TESTO"/>
        <w:jc w:val="both"/>
        <w:rPr>
          <w:color w:val="auto"/>
        </w:rPr>
      </w:pPr>
    </w:p>
    <w:p w:rsidR="004230B1" w:rsidRPr="003A6CFE" w:rsidRDefault="004230B1" w:rsidP="00FB20AB">
      <w:pPr>
        <w:pStyle w:val="01TESTO"/>
        <w:jc w:val="both"/>
        <w:rPr>
          <w:b/>
          <w:color w:val="auto"/>
        </w:rPr>
      </w:pPr>
      <w:r w:rsidRPr="003A6CFE">
        <w:rPr>
          <w:b/>
          <w:color w:val="auto"/>
        </w:rPr>
        <w:t>CX57C y CX60C: confort en movimiento</w:t>
      </w:r>
    </w:p>
    <w:p w:rsidR="004230B1" w:rsidRPr="003A6CFE" w:rsidRDefault="004230B1" w:rsidP="00FB20AB">
      <w:pPr>
        <w:pStyle w:val="01TESTO"/>
        <w:jc w:val="both"/>
        <w:rPr>
          <w:color w:val="auto"/>
        </w:rPr>
      </w:pPr>
      <w:r w:rsidRPr="003A6CFE">
        <w:rPr>
          <w:color w:val="auto"/>
        </w:rPr>
        <w:t>Los dos modelos superiores de la nueva gama destacan por su inigualable potencia de motor y capacidad de izado, así como por sus características de confort</w:t>
      </w:r>
      <w:r w:rsidR="00561387">
        <w:rPr>
          <w:color w:val="auto"/>
        </w:rPr>
        <w:t>.</w:t>
      </w:r>
      <w:r w:rsidRPr="003A6CFE">
        <w:rPr>
          <w:color w:val="auto"/>
        </w:rPr>
        <w:t xml:space="preserve"> </w:t>
      </w:r>
      <w:r w:rsidR="00561387">
        <w:rPr>
          <w:color w:val="auto"/>
        </w:rPr>
        <w:t xml:space="preserve">Entre ellas, se incluye </w:t>
      </w:r>
      <w:r w:rsidRPr="003A6CFE">
        <w:rPr>
          <w:color w:val="auto"/>
        </w:rPr>
        <w:t>la preparación de fábrica para acoger las últimas tecnologías dirigidas a facilitar el trabajo del operador. Todo esto confiere al operador un confort máximo, para que pueda concentrarse en hacer el trabajo de forma eficiente y productiva con la menor fatiga posible.</w:t>
      </w:r>
    </w:p>
    <w:p w:rsidR="004230B1" w:rsidRPr="003A6CFE" w:rsidRDefault="004230B1" w:rsidP="00FB20AB">
      <w:pPr>
        <w:pStyle w:val="01TESTO"/>
        <w:jc w:val="both"/>
        <w:rPr>
          <w:color w:val="auto"/>
        </w:rPr>
      </w:pPr>
    </w:p>
    <w:p w:rsidR="008D2A7B" w:rsidRPr="003A6CFE" w:rsidRDefault="008D2A7B" w:rsidP="00FB20AB">
      <w:pPr>
        <w:pStyle w:val="01TESTO"/>
        <w:jc w:val="both"/>
        <w:rPr>
          <w:color w:val="auto"/>
        </w:rPr>
      </w:pPr>
      <w:r w:rsidRPr="003A6CFE">
        <w:rPr>
          <w:color w:val="auto"/>
        </w:rPr>
        <w:t xml:space="preserve">La espaciosa cabina con amplio espacio para las piernas, junto con la disposición ergonómica de los mandos y el asiento, el asiento </w:t>
      </w:r>
      <w:r w:rsidRPr="005B41D7">
        <w:rPr>
          <w:color w:val="000000" w:themeColor="text1"/>
        </w:rPr>
        <w:t xml:space="preserve">calefactable </w:t>
      </w:r>
      <w:r w:rsidR="00B71A95" w:rsidRPr="005B41D7">
        <w:rPr>
          <w:color w:val="000000" w:themeColor="text1"/>
        </w:rPr>
        <w:t xml:space="preserve">y </w:t>
      </w:r>
      <w:r w:rsidRPr="005B41D7">
        <w:rPr>
          <w:color w:val="000000" w:themeColor="text1"/>
        </w:rPr>
        <w:t>totalmente ajustable, los múltiples compartimentos de almacenamiento y las protecciones para el sol hacen de</w:t>
      </w:r>
      <w:r w:rsidRPr="003A6CFE">
        <w:rPr>
          <w:color w:val="auto"/>
        </w:rPr>
        <w:t xml:space="preserve"> la estación del operador un espacio extremamente confortable. Su funcionamiento extraordinariamente silencioso y las bajas vibraciones gracias al montaje de la cabina sobre </w:t>
      </w:r>
      <w:proofErr w:type="spellStart"/>
      <w:r w:rsidRPr="003A6CFE">
        <w:rPr>
          <w:color w:val="auto"/>
        </w:rPr>
        <w:t>silent</w:t>
      </w:r>
      <w:proofErr w:type="spellEnd"/>
      <w:r w:rsidRPr="003A6CFE">
        <w:rPr>
          <w:color w:val="auto"/>
        </w:rPr>
        <w:t xml:space="preserve"> blocks añaden confort al operador y favorecen unas jornadas de trabajo sin fatiga. La función de ralentí automático estándar reduce el ruido cuando la máquina no está trabajando.</w:t>
      </w:r>
    </w:p>
    <w:p w:rsidR="008D2A7B" w:rsidRPr="003A6CFE" w:rsidRDefault="008D2A7B" w:rsidP="00FB20AB">
      <w:pPr>
        <w:pStyle w:val="01TESTO"/>
        <w:jc w:val="both"/>
        <w:rPr>
          <w:color w:val="auto"/>
        </w:rPr>
      </w:pPr>
    </w:p>
    <w:p w:rsidR="004230B1" w:rsidRPr="003A6CFE" w:rsidRDefault="004230B1" w:rsidP="00FB20AB">
      <w:pPr>
        <w:pStyle w:val="01TESTO"/>
        <w:jc w:val="both"/>
        <w:rPr>
          <w:color w:val="auto"/>
        </w:rPr>
      </w:pPr>
      <w:r w:rsidRPr="003A6CFE">
        <w:rPr>
          <w:color w:val="auto"/>
        </w:rPr>
        <w:t>Los modelos de 5,7 y 6,0 toneladas llevan el mejor cuadro de instrumentos del mercado, con pantalla táctil multicolor LCD de 5,7 pulgadas. El cómodo sistema de manos libres con puertos USB y AUX, el lector de tarjetas SD y la salida eléctrica de 12V facilitan la integración de la mayoría de dispositivos móviles modernos.</w:t>
      </w:r>
    </w:p>
    <w:p w:rsidR="004230B1" w:rsidRPr="003A6CFE" w:rsidRDefault="004230B1" w:rsidP="00FB20AB">
      <w:pPr>
        <w:pStyle w:val="01TESTO"/>
        <w:jc w:val="both"/>
        <w:rPr>
          <w:color w:val="auto"/>
        </w:rPr>
      </w:pPr>
    </w:p>
    <w:p w:rsidR="0049383D" w:rsidRPr="0049383D" w:rsidRDefault="0049383D" w:rsidP="00FB20AB">
      <w:pPr>
        <w:rPr>
          <w:b/>
          <w:color w:val="auto"/>
        </w:rPr>
      </w:pPr>
      <w:r w:rsidRPr="0049383D">
        <w:rPr>
          <w:b/>
          <w:color w:val="auto"/>
        </w:rPr>
        <w:t xml:space="preserve">Nota para los medios de comunicación de América del Norte: </w:t>
      </w:r>
    </w:p>
    <w:p w:rsidR="00FB20AB" w:rsidRDefault="0049383D" w:rsidP="0049383D">
      <w:pPr>
        <w:jc w:val="both"/>
        <w:rPr>
          <w:color w:val="auto"/>
        </w:rPr>
      </w:pPr>
      <w:r w:rsidRPr="0049383D">
        <w:rPr>
          <w:color w:val="auto"/>
        </w:rPr>
        <w:t xml:space="preserve">Este producto se lanzará en CONEXPO 2017 en marzo. Una versión completa de esta nota de prensa con la oferta completa para Norte América estará disponible en ese momento. Por favor para cualquier duda al respecto póngase en contacto con Bill </w:t>
      </w:r>
      <w:proofErr w:type="spellStart"/>
      <w:r w:rsidRPr="0049383D">
        <w:rPr>
          <w:color w:val="auto"/>
        </w:rPr>
        <w:t>Elverman</w:t>
      </w:r>
      <w:proofErr w:type="spellEnd"/>
      <w:r w:rsidRPr="0049383D">
        <w:rPr>
          <w:color w:val="auto"/>
        </w:rPr>
        <w:t xml:space="preserve"> (</w:t>
      </w:r>
      <w:hyperlink r:id="rId10" w:history="1">
        <w:r w:rsidRPr="00122ABF">
          <w:rPr>
            <w:rStyle w:val="Hipervnculo"/>
          </w:rPr>
          <w:t>bill@pkamar.com</w:t>
        </w:r>
      </w:hyperlink>
      <w:r w:rsidRPr="0049383D">
        <w:rPr>
          <w:color w:val="auto"/>
        </w:rPr>
        <w:t>).</w:t>
      </w:r>
      <w:r w:rsidR="00FB20AB">
        <w:rPr>
          <w:color w:val="auto"/>
        </w:rPr>
        <w:br w:type="page"/>
      </w:r>
    </w:p>
    <w:p w:rsidR="008E4723" w:rsidRPr="003A6CFE" w:rsidRDefault="008E4723" w:rsidP="008E4723">
      <w:pPr>
        <w:jc w:val="both"/>
        <w:rPr>
          <w:rFonts w:eastAsia="SimSun" w:cs="Arial"/>
          <w:szCs w:val="19"/>
          <w:lang w:bidi="ar-SA"/>
        </w:rPr>
      </w:pPr>
      <w:r w:rsidRPr="003A6CFE">
        <w:rPr>
          <w:rFonts w:eastAsia="SimSun" w:cs="Arial"/>
          <w:szCs w:val="19"/>
          <w:lang w:bidi="ar-SA"/>
        </w:rPr>
        <w:lastRenderedPageBreak/>
        <w:t>Visitando nuestra página web podrá descargar textos, imágenes y vídeos en alta definición relacionados con este comunicado de prensa (</w:t>
      </w:r>
      <w:proofErr w:type="spellStart"/>
      <w:r w:rsidRPr="003A6CFE">
        <w:rPr>
          <w:rFonts w:eastAsia="SimSun" w:cs="Arial"/>
          <w:szCs w:val="19"/>
          <w:lang w:bidi="ar-SA"/>
        </w:rPr>
        <w:t>jpg</w:t>
      </w:r>
      <w:proofErr w:type="spellEnd"/>
      <w:r w:rsidRPr="003A6CFE">
        <w:rPr>
          <w:rFonts w:eastAsia="SimSun" w:cs="Arial"/>
          <w:szCs w:val="19"/>
          <w:lang w:bidi="ar-SA"/>
        </w:rPr>
        <w:t xml:space="preserve"> 300 dpi, CMYK): </w:t>
      </w:r>
      <w:hyperlink r:id="rId11" w:history="1">
        <w:r w:rsidRPr="003A6CFE">
          <w:rPr>
            <w:rFonts w:eastAsia="SimSun" w:cs="Arial"/>
            <w:color w:val="0000FF"/>
            <w:u w:val="single"/>
            <w:lang w:bidi="ar-SA"/>
          </w:rPr>
          <w:t>www.casecetools.com/press-kit</w:t>
        </w:r>
      </w:hyperlink>
    </w:p>
    <w:p w:rsidR="003A6CFE" w:rsidRDefault="003A6CFE" w:rsidP="008E4723">
      <w:pPr>
        <w:jc w:val="both"/>
        <w:rPr>
          <w:rFonts w:eastAsia="SimSun" w:cs="Arial"/>
          <w:b/>
          <w:szCs w:val="19"/>
          <w:lang w:bidi="ar-SA"/>
        </w:rPr>
      </w:pPr>
    </w:p>
    <w:p w:rsidR="003A6CFE" w:rsidRDefault="003A6CFE" w:rsidP="008E4723">
      <w:pPr>
        <w:jc w:val="both"/>
        <w:rPr>
          <w:rFonts w:eastAsia="SimSun" w:cs="Arial"/>
          <w:b/>
          <w:szCs w:val="19"/>
          <w:lang w:bidi="ar-SA"/>
        </w:rPr>
      </w:pPr>
    </w:p>
    <w:p w:rsidR="008E4723" w:rsidRPr="003A6CFE" w:rsidRDefault="008E4723" w:rsidP="008E4723">
      <w:pPr>
        <w:jc w:val="both"/>
        <w:rPr>
          <w:rFonts w:eastAsia="SimSun" w:cs="Arial"/>
          <w:b/>
          <w:sz w:val="18"/>
          <w:szCs w:val="18"/>
          <w:lang w:bidi="ar-SA"/>
        </w:rPr>
      </w:pPr>
      <w:r w:rsidRPr="003A6CFE">
        <w:rPr>
          <w:rFonts w:eastAsia="SimSun" w:cs="Arial"/>
          <w:b/>
          <w:szCs w:val="19"/>
          <w:lang w:bidi="ar-SA"/>
        </w:rPr>
        <w:t>Sigue a CASE en:</w:t>
      </w:r>
    </w:p>
    <w:tbl>
      <w:tblPr>
        <w:tblW w:w="0" w:type="auto"/>
        <w:tblCellSpacing w:w="0" w:type="dxa"/>
        <w:tblCellMar>
          <w:left w:w="0" w:type="dxa"/>
          <w:right w:w="0" w:type="dxa"/>
        </w:tblCellMar>
        <w:tblLook w:val="04A0" w:firstRow="1" w:lastRow="0" w:firstColumn="1" w:lastColumn="0" w:noHBand="0" w:noVBand="1"/>
      </w:tblPr>
      <w:tblGrid>
        <w:gridCol w:w="2280"/>
        <w:gridCol w:w="130"/>
        <w:gridCol w:w="226"/>
        <w:gridCol w:w="5867"/>
      </w:tblGrid>
      <w:tr w:rsidR="008E4723" w:rsidRPr="003A6CFE" w:rsidTr="0049294D">
        <w:trPr>
          <w:trHeight w:val="1370"/>
          <w:tblCellSpacing w:w="0" w:type="dxa"/>
        </w:trPr>
        <w:tc>
          <w:tcPr>
            <w:tcW w:w="2280" w:type="dxa"/>
            <w:vAlign w:val="center"/>
            <w:hideMark/>
          </w:tcPr>
          <w:tbl>
            <w:tblPr>
              <w:tblW w:w="2280" w:type="dxa"/>
              <w:tblCellSpacing w:w="0" w:type="dxa"/>
              <w:tblCellMar>
                <w:left w:w="0" w:type="dxa"/>
                <w:right w:w="0" w:type="dxa"/>
              </w:tblCellMar>
              <w:tblLook w:val="04A0" w:firstRow="1" w:lastRow="0" w:firstColumn="1" w:lastColumn="0" w:noHBand="0" w:noVBand="1"/>
            </w:tblPr>
            <w:tblGrid>
              <w:gridCol w:w="570"/>
              <w:gridCol w:w="570"/>
              <w:gridCol w:w="570"/>
              <w:gridCol w:w="570"/>
            </w:tblGrid>
            <w:tr w:rsidR="008E4723" w:rsidRPr="003A6CFE" w:rsidTr="0049294D">
              <w:trPr>
                <w:trHeight w:val="442"/>
                <w:tblCellSpacing w:w="0" w:type="dxa"/>
              </w:trPr>
              <w:tc>
                <w:tcPr>
                  <w:tcW w:w="570" w:type="dxa"/>
                  <w:vAlign w:val="center"/>
                  <w:hideMark/>
                </w:tcPr>
                <w:p w:rsidR="008E4723" w:rsidRPr="003A6CFE" w:rsidRDefault="00A82A7A" w:rsidP="008E4723">
                  <w:pPr>
                    <w:rPr>
                      <w:rFonts w:ascii="Calibri" w:eastAsia="Calibri" w:hAnsi="Calibri"/>
                      <w:sz w:val="22"/>
                      <w:szCs w:val="22"/>
                      <w:lang w:eastAsia="it-IT" w:bidi="ar-SA"/>
                    </w:rPr>
                  </w:pPr>
                  <w:hyperlink r:id="rId12" w:history="1"/>
                  <w:r w:rsidR="008E4723" w:rsidRPr="003A6CFE">
                    <w:rPr>
                      <w:rFonts w:eastAsia="SimSun"/>
                      <w:noProof/>
                      <w:lang w:bidi="ar-SA"/>
                    </w:rPr>
                    <w:drawing>
                      <wp:inline distT="0" distB="0" distL="0" distR="0">
                        <wp:extent cx="191135" cy="191135"/>
                        <wp:effectExtent l="0" t="0" r="0" b="0"/>
                        <wp:docPr id="1" name="Imagen 21" descr="facebook_case">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 descr="facebook_cas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p>
              </w:tc>
              <w:tc>
                <w:tcPr>
                  <w:tcW w:w="570" w:type="dxa"/>
                  <w:vAlign w:val="center"/>
                  <w:hideMark/>
                </w:tcPr>
                <w:p w:rsidR="008E4723" w:rsidRPr="003A6CFE" w:rsidRDefault="008E4723" w:rsidP="008E4723">
                  <w:pPr>
                    <w:rPr>
                      <w:rFonts w:ascii="Calibri" w:eastAsia="Calibri" w:hAnsi="Calibri"/>
                      <w:sz w:val="22"/>
                      <w:szCs w:val="22"/>
                      <w:lang w:eastAsia="it-IT" w:bidi="ar-SA"/>
                    </w:rPr>
                  </w:pPr>
                  <w:r w:rsidRPr="003A6CFE">
                    <w:rPr>
                      <w:rFonts w:ascii="Times New Roman" w:eastAsia="SimSun" w:hAnsi="Times New Roman"/>
                      <w:noProof/>
                      <w:color w:val="0000FF"/>
                      <w:sz w:val="24"/>
                      <w:szCs w:val="24"/>
                      <w:lang w:bidi="ar-SA"/>
                    </w:rPr>
                    <w:drawing>
                      <wp:inline distT="0" distB="0" distL="0" distR="0">
                        <wp:extent cx="191135" cy="191135"/>
                        <wp:effectExtent l="0" t="0" r="0" b="0"/>
                        <wp:docPr id="2" name="Imagen 2">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p>
              </w:tc>
              <w:tc>
                <w:tcPr>
                  <w:tcW w:w="570" w:type="dxa"/>
                  <w:vAlign w:val="center"/>
                  <w:hideMark/>
                </w:tcPr>
                <w:p w:rsidR="008E4723" w:rsidRPr="003A6CFE" w:rsidRDefault="008E4723" w:rsidP="008E4723">
                  <w:pPr>
                    <w:rPr>
                      <w:rFonts w:ascii="Calibri" w:eastAsia="Calibri" w:hAnsi="Calibri"/>
                      <w:sz w:val="22"/>
                      <w:szCs w:val="22"/>
                      <w:lang w:eastAsia="it-IT" w:bidi="ar-SA"/>
                    </w:rPr>
                  </w:pPr>
                  <w:r w:rsidRPr="003A6CFE">
                    <w:rPr>
                      <w:rFonts w:ascii="Times New Roman" w:eastAsia="SimSun" w:hAnsi="Times New Roman"/>
                      <w:noProof/>
                      <w:color w:val="0000FF"/>
                      <w:sz w:val="24"/>
                      <w:szCs w:val="24"/>
                      <w:lang w:bidi="ar-SA"/>
                    </w:rPr>
                    <w:drawing>
                      <wp:inline distT="0" distB="0" distL="0" distR="0">
                        <wp:extent cx="191135" cy="191135"/>
                        <wp:effectExtent l="0" t="0" r="0" b="0"/>
                        <wp:docPr id="3" name="Imagen 3">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p>
              </w:tc>
              <w:tc>
                <w:tcPr>
                  <w:tcW w:w="570" w:type="dxa"/>
                  <w:vAlign w:val="center"/>
                  <w:hideMark/>
                </w:tcPr>
                <w:p w:rsidR="008E4723" w:rsidRPr="003A6CFE" w:rsidRDefault="008E4723" w:rsidP="008E4723">
                  <w:pPr>
                    <w:rPr>
                      <w:rFonts w:ascii="Calibri" w:eastAsia="Calibri" w:hAnsi="Calibri"/>
                      <w:sz w:val="22"/>
                      <w:szCs w:val="22"/>
                      <w:lang w:eastAsia="it-IT" w:bidi="ar-SA"/>
                    </w:rPr>
                  </w:pPr>
                  <w:r w:rsidRPr="003A6CFE">
                    <w:rPr>
                      <w:rFonts w:ascii="Times New Roman" w:eastAsia="SimSun" w:hAnsi="Times New Roman"/>
                      <w:noProof/>
                      <w:color w:val="0000FF"/>
                      <w:sz w:val="24"/>
                      <w:szCs w:val="24"/>
                      <w:lang w:bidi="ar-SA"/>
                    </w:rPr>
                    <w:drawing>
                      <wp:inline distT="0" distB="0" distL="0" distR="0">
                        <wp:extent cx="191135" cy="191135"/>
                        <wp:effectExtent l="0" t="0" r="0" b="0"/>
                        <wp:docPr id="4" name="Imagen 4">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p>
              </w:tc>
            </w:tr>
          </w:tbl>
          <w:p w:rsidR="008E4723" w:rsidRPr="003A6CFE" w:rsidRDefault="008E4723" w:rsidP="008E4723">
            <w:pPr>
              <w:rPr>
                <w:rFonts w:ascii="Times New Roman" w:eastAsia="SimSun" w:hAnsi="Times New Roman"/>
                <w:sz w:val="20"/>
                <w:lang w:eastAsia="it-IT" w:bidi="ar-SA"/>
              </w:rPr>
            </w:pPr>
          </w:p>
        </w:tc>
        <w:tc>
          <w:tcPr>
            <w:tcW w:w="130" w:type="dxa"/>
            <w:vAlign w:val="center"/>
            <w:hideMark/>
          </w:tcPr>
          <w:p w:rsidR="008E4723" w:rsidRPr="003A6CFE" w:rsidRDefault="008E4723" w:rsidP="008E4723">
            <w:pPr>
              <w:rPr>
                <w:rFonts w:ascii="Calibri" w:eastAsia="Calibri" w:hAnsi="Calibri"/>
                <w:sz w:val="22"/>
                <w:szCs w:val="22"/>
                <w:lang w:eastAsia="it-IT" w:bidi="ar-SA"/>
              </w:rPr>
            </w:pPr>
            <w:r w:rsidRPr="003A6CFE">
              <w:rPr>
                <w:rFonts w:ascii="Times New Roman" w:eastAsia="SimSun" w:hAnsi="Times New Roman"/>
                <w:sz w:val="20"/>
                <w:lang w:eastAsia="it-IT" w:bidi="ar-SA"/>
              </w:rPr>
              <w:t> </w:t>
            </w:r>
          </w:p>
        </w:tc>
        <w:tc>
          <w:tcPr>
            <w:tcW w:w="226" w:type="dxa"/>
            <w:vAlign w:val="center"/>
            <w:hideMark/>
          </w:tcPr>
          <w:p w:rsidR="008E4723" w:rsidRPr="003A6CFE" w:rsidRDefault="008E4723" w:rsidP="008E4723">
            <w:pPr>
              <w:rPr>
                <w:rFonts w:ascii="Calibri" w:eastAsia="Calibri" w:hAnsi="Calibri"/>
                <w:sz w:val="22"/>
                <w:szCs w:val="22"/>
                <w:lang w:eastAsia="it-IT" w:bidi="ar-SA"/>
              </w:rPr>
            </w:pPr>
            <w:r w:rsidRPr="003A6CFE">
              <w:rPr>
                <w:rFonts w:ascii="Times New Roman" w:eastAsia="SimSun" w:hAnsi="Times New Roman"/>
                <w:sz w:val="20"/>
                <w:lang w:eastAsia="it-IT" w:bidi="ar-SA"/>
              </w:rPr>
              <w:t> </w:t>
            </w:r>
          </w:p>
        </w:tc>
        <w:tc>
          <w:tcPr>
            <w:tcW w:w="5867" w:type="dxa"/>
            <w:vAlign w:val="center"/>
            <w:hideMark/>
          </w:tcPr>
          <w:p w:rsidR="008E4723" w:rsidRPr="003A6CFE" w:rsidRDefault="008E4723" w:rsidP="008E4723">
            <w:pPr>
              <w:rPr>
                <w:rFonts w:ascii="Calibri" w:eastAsia="Calibri" w:hAnsi="Calibri"/>
                <w:sz w:val="22"/>
                <w:szCs w:val="22"/>
                <w:lang w:eastAsia="it-IT" w:bidi="ar-SA"/>
              </w:rPr>
            </w:pPr>
            <w:r w:rsidRPr="003A6CFE">
              <w:rPr>
                <w:rFonts w:ascii="Verdana" w:eastAsia="SimSun" w:hAnsi="Verdana"/>
                <w:lang w:eastAsia="it-IT" w:bidi="ar-SA"/>
              </w:rPr>
              <w:t> </w:t>
            </w:r>
            <w:hyperlink r:id="rId21" w:history="1"/>
          </w:p>
        </w:tc>
      </w:tr>
    </w:tbl>
    <w:p w:rsidR="008E4723" w:rsidRPr="003A6CFE" w:rsidRDefault="008E4723" w:rsidP="008E4723">
      <w:pPr>
        <w:jc w:val="both"/>
        <w:rPr>
          <w:rFonts w:eastAsia="SimSun"/>
          <w:i/>
          <w:iCs/>
          <w:sz w:val="16"/>
          <w:szCs w:val="16"/>
          <w:lang w:eastAsia="it-IT" w:bidi="ar-SA"/>
        </w:rPr>
      </w:pPr>
      <w:r w:rsidRPr="003A6CFE">
        <w:rPr>
          <w:rFonts w:eastAsia="SimSun"/>
          <w:i/>
          <w:iCs/>
          <w:sz w:val="16"/>
          <w:szCs w:val="16"/>
          <w:lang w:eastAsia="it-IT" w:bidi="ar-SA"/>
        </w:rPr>
        <w:t>C</w:t>
      </w:r>
      <w:r w:rsidR="00DF782A">
        <w:rPr>
          <w:rFonts w:eastAsia="SimSun"/>
          <w:i/>
          <w:iCs/>
          <w:sz w:val="16"/>
          <w:szCs w:val="16"/>
          <w:lang w:eastAsia="it-IT" w:bidi="ar-SA"/>
        </w:rPr>
        <w:t>ASE</w:t>
      </w:r>
      <w:r w:rsidRPr="003A6CFE">
        <w:rPr>
          <w:rFonts w:eastAsia="SimSun"/>
          <w:i/>
          <w:iCs/>
          <w:sz w:val="16"/>
          <w:szCs w:val="16"/>
          <w:lang w:eastAsia="it-IT" w:bidi="ar-SA"/>
        </w:rPr>
        <w:t xml:space="preserve"> Construction Equipment vende y mantiene una línea completa de maquinaria de construcción en todo el mundo, que incluye el nº 1 en </w:t>
      </w:r>
      <w:proofErr w:type="spellStart"/>
      <w:r w:rsidRPr="003A6CFE">
        <w:rPr>
          <w:rFonts w:eastAsia="SimSun"/>
          <w:i/>
          <w:iCs/>
          <w:sz w:val="16"/>
          <w:szCs w:val="16"/>
          <w:lang w:eastAsia="it-IT" w:bidi="ar-SA"/>
        </w:rPr>
        <w:t>retrocargadoras</w:t>
      </w:r>
      <w:proofErr w:type="spellEnd"/>
      <w:r w:rsidRPr="003A6CFE">
        <w:rPr>
          <w:rFonts w:eastAsia="SimSun"/>
          <w:i/>
          <w:iCs/>
          <w:sz w:val="16"/>
          <w:szCs w:val="16"/>
          <w:lang w:eastAsia="it-IT" w:bidi="ar-SA"/>
        </w:rPr>
        <w:t xml:space="preserve">, excavadoras, motoniveladoras, cargadoras de neumáticos, rodillos vibradores de compactación, </w:t>
      </w:r>
      <w:proofErr w:type="spellStart"/>
      <w:r w:rsidRPr="003A6CFE">
        <w:rPr>
          <w:rFonts w:eastAsia="SimSun"/>
          <w:i/>
          <w:iCs/>
          <w:sz w:val="16"/>
          <w:szCs w:val="16"/>
          <w:lang w:eastAsia="it-IT" w:bidi="ar-SA"/>
        </w:rPr>
        <w:t>dozers</w:t>
      </w:r>
      <w:proofErr w:type="spellEnd"/>
      <w:r w:rsidRPr="003A6CFE">
        <w:rPr>
          <w:rFonts w:eastAsia="SimSun"/>
          <w:i/>
          <w:iCs/>
          <w:sz w:val="16"/>
          <w:szCs w:val="16"/>
          <w:lang w:eastAsia="it-IT" w:bidi="ar-SA"/>
        </w:rPr>
        <w:t xml:space="preserve"> de cadenas, </w:t>
      </w:r>
      <w:proofErr w:type="spellStart"/>
      <w:r w:rsidRPr="003A6CFE">
        <w:rPr>
          <w:rFonts w:eastAsia="SimSun"/>
          <w:i/>
          <w:iCs/>
          <w:sz w:val="16"/>
          <w:szCs w:val="16"/>
          <w:lang w:eastAsia="it-IT" w:bidi="ar-SA"/>
        </w:rPr>
        <w:t>minicargadoras</w:t>
      </w:r>
      <w:proofErr w:type="spellEnd"/>
      <w:r w:rsidRPr="003A6CFE">
        <w:rPr>
          <w:rFonts w:eastAsia="SimSun"/>
          <w:i/>
          <w:iCs/>
          <w:sz w:val="16"/>
          <w:szCs w:val="16"/>
          <w:lang w:eastAsia="it-IT" w:bidi="ar-SA"/>
        </w:rPr>
        <w:t>, cargadoras compactas de cadenas y carretillas elevadoras todoterreno. A través de los concesionarios C</w:t>
      </w:r>
      <w:r w:rsidR="00DF782A">
        <w:rPr>
          <w:rFonts w:eastAsia="SimSun"/>
          <w:i/>
          <w:iCs/>
          <w:sz w:val="16"/>
          <w:szCs w:val="16"/>
          <w:lang w:eastAsia="it-IT" w:bidi="ar-SA"/>
        </w:rPr>
        <w:t>ASE</w:t>
      </w:r>
      <w:r w:rsidRPr="003A6CFE">
        <w:rPr>
          <w:rFonts w:eastAsia="SimSun"/>
          <w:i/>
          <w:iCs/>
          <w:sz w:val="16"/>
          <w:szCs w:val="16"/>
          <w:lang w:eastAsia="it-IT" w:bidi="ar-SA"/>
        </w:rPr>
        <w:t xml:space="preserve">, los clientes tienen acceso a un auténtico socio profesional con equipo y servicio postventa de categoría internacional, garantías líderes del sector y financiación flexible. Encontrará más información en </w:t>
      </w:r>
      <w:hyperlink r:id="rId22" w:history="1">
        <w:r w:rsidRPr="003A6CFE">
          <w:rPr>
            <w:rFonts w:eastAsia="SimSun"/>
            <w:i/>
            <w:iCs/>
            <w:color w:val="0000FF"/>
            <w:u w:val="single"/>
            <w:lang w:eastAsia="it-IT" w:bidi="ar-SA"/>
          </w:rPr>
          <w:t>www.casece.com</w:t>
        </w:r>
      </w:hyperlink>
      <w:r w:rsidRPr="003A6CFE">
        <w:rPr>
          <w:rFonts w:eastAsia="SimSun"/>
          <w:i/>
          <w:iCs/>
          <w:sz w:val="16"/>
          <w:szCs w:val="16"/>
          <w:lang w:eastAsia="it-IT" w:bidi="ar-SA"/>
        </w:rPr>
        <w:t>.</w:t>
      </w:r>
    </w:p>
    <w:p w:rsidR="008E4723" w:rsidRPr="003A6CFE" w:rsidRDefault="008E4723" w:rsidP="008E4723">
      <w:pPr>
        <w:jc w:val="both"/>
        <w:rPr>
          <w:rFonts w:eastAsia="SimSun"/>
          <w:i/>
          <w:iCs/>
          <w:sz w:val="16"/>
          <w:szCs w:val="16"/>
          <w:lang w:eastAsia="it-IT" w:bidi="ar-SA"/>
        </w:rPr>
      </w:pPr>
      <w:r w:rsidRPr="003A6CFE">
        <w:rPr>
          <w:rFonts w:eastAsia="SimSun"/>
          <w:i/>
          <w:iCs/>
          <w:sz w:val="16"/>
          <w:szCs w:val="16"/>
          <w:lang w:eastAsia="it-IT" w:bidi="ar-SA"/>
        </w:rPr>
        <w:t>C</w:t>
      </w:r>
      <w:r w:rsidR="00DF782A">
        <w:rPr>
          <w:rFonts w:eastAsia="SimSun"/>
          <w:i/>
          <w:iCs/>
          <w:sz w:val="16"/>
          <w:szCs w:val="16"/>
          <w:lang w:eastAsia="it-IT" w:bidi="ar-SA"/>
        </w:rPr>
        <w:t xml:space="preserve">ASE </w:t>
      </w:r>
      <w:r w:rsidRPr="003A6CFE">
        <w:rPr>
          <w:rFonts w:eastAsia="SimSun"/>
          <w:i/>
          <w:iCs/>
          <w:sz w:val="16"/>
          <w:szCs w:val="16"/>
          <w:lang w:eastAsia="it-IT" w:bidi="ar-SA"/>
        </w:rPr>
        <w:t xml:space="preserve">Construction Equipment es una marca de CNH Industrial N.V., </w:t>
      </w:r>
      <w:r w:rsidRPr="003A6CFE">
        <w:rPr>
          <w:rFonts w:eastAsia="SimSun" w:cs="Arial"/>
          <w:i/>
          <w:iCs/>
          <w:sz w:val="16"/>
          <w:szCs w:val="16"/>
          <w:lang w:eastAsia="it-IT" w:bidi="ar-SA"/>
        </w:rPr>
        <w:t>líder mundial en bienes de equipo,</w:t>
      </w:r>
      <w:r w:rsidRPr="003A6CFE">
        <w:rPr>
          <w:rFonts w:eastAsia="SimSun"/>
          <w:i/>
          <w:iCs/>
          <w:sz w:val="16"/>
          <w:szCs w:val="16"/>
          <w:lang w:eastAsia="it-IT" w:bidi="ar-SA"/>
        </w:rPr>
        <w:t xml:space="preserve"> cuyas acciones cotizan en la Bolsa de Nueva York (NYSE: CNH) y en el</w:t>
      </w:r>
      <w:r w:rsidR="003A6CFE">
        <w:rPr>
          <w:rFonts w:eastAsia="SimSun"/>
          <w:i/>
          <w:iCs/>
          <w:sz w:val="16"/>
          <w:szCs w:val="16"/>
          <w:lang w:eastAsia="it-IT" w:bidi="ar-SA"/>
        </w:rPr>
        <w:t xml:space="preserve"> </w:t>
      </w:r>
      <w:proofErr w:type="spellStart"/>
      <w:r w:rsidRPr="003A6CFE">
        <w:rPr>
          <w:rFonts w:eastAsia="SimSun"/>
          <w:i/>
          <w:iCs/>
          <w:sz w:val="16"/>
          <w:szCs w:val="16"/>
          <w:lang w:eastAsia="it-IT" w:bidi="ar-SA"/>
        </w:rPr>
        <w:t>Mercato</w:t>
      </w:r>
      <w:proofErr w:type="spellEnd"/>
      <w:r w:rsidRPr="003A6CFE">
        <w:rPr>
          <w:rFonts w:eastAsia="SimSun"/>
          <w:i/>
          <w:iCs/>
          <w:sz w:val="16"/>
          <w:szCs w:val="16"/>
          <w:lang w:eastAsia="it-IT" w:bidi="ar-SA"/>
        </w:rPr>
        <w:t xml:space="preserve"> </w:t>
      </w:r>
      <w:proofErr w:type="spellStart"/>
      <w:r w:rsidRPr="003A6CFE">
        <w:rPr>
          <w:rFonts w:eastAsia="SimSun"/>
          <w:i/>
          <w:iCs/>
          <w:sz w:val="16"/>
          <w:szCs w:val="16"/>
          <w:lang w:eastAsia="it-IT" w:bidi="ar-SA"/>
        </w:rPr>
        <w:t>Telematico</w:t>
      </w:r>
      <w:proofErr w:type="spellEnd"/>
      <w:r w:rsidRPr="003A6CFE">
        <w:rPr>
          <w:rFonts w:eastAsia="SimSun"/>
          <w:i/>
          <w:iCs/>
          <w:sz w:val="16"/>
          <w:szCs w:val="16"/>
          <w:lang w:eastAsia="it-IT" w:bidi="ar-SA"/>
        </w:rPr>
        <w:t xml:space="preserve"> </w:t>
      </w:r>
      <w:proofErr w:type="spellStart"/>
      <w:r w:rsidRPr="003A6CFE">
        <w:rPr>
          <w:rFonts w:eastAsia="SimSun"/>
          <w:i/>
          <w:iCs/>
          <w:sz w:val="16"/>
          <w:szCs w:val="16"/>
          <w:lang w:eastAsia="it-IT" w:bidi="ar-SA"/>
        </w:rPr>
        <w:t>Azionario</w:t>
      </w:r>
      <w:proofErr w:type="spellEnd"/>
      <w:r w:rsidRPr="003A6CFE">
        <w:rPr>
          <w:rFonts w:eastAsia="SimSun"/>
          <w:i/>
          <w:iCs/>
          <w:sz w:val="16"/>
          <w:szCs w:val="16"/>
          <w:lang w:eastAsia="it-IT" w:bidi="ar-SA"/>
        </w:rPr>
        <w:t xml:space="preserve"> de la Bolsa Italiana (MI: CNHI). Encontrará más información sobre CNH</w:t>
      </w:r>
      <w:r w:rsidR="003A6CFE">
        <w:rPr>
          <w:rFonts w:eastAsia="SimSun"/>
          <w:i/>
          <w:iCs/>
          <w:sz w:val="16"/>
          <w:szCs w:val="16"/>
          <w:lang w:eastAsia="it-IT" w:bidi="ar-SA"/>
        </w:rPr>
        <w:t xml:space="preserve"> </w:t>
      </w:r>
      <w:r w:rsidRPr="003A6CFE">
        <w:rPr>
          <w:rFonts w:eastAsia="SimSun"/>
          <w:i/>
          <w:iCs/>
          <w:sz w:val="16"/>
          <w:szCs w:val="16"/>
          <w:lang w:eastAsia="it-IT" w:bidi="ar-SA"/>
        </w:rPr>
        <w:t xml:space="preserve">Industrial en la página web </w:t>
      </w:r>
      <w:hyperlink r:id="rId23" w:history="1">
        <w:r w:rsidRPr="003A6CFE">
          <w:rPr>
            <w:rFonts w:eastAsia="SimSun"/>
            <w:i/>
            <w:iCs/>
            <w:color w:val="0000FF"/>
            <w:u w:val="single"/>
            <w:lang w:eastAsia="it-IT" w:bidi="ar-SA"/>
          </w:rPr>
          <w:t>www.cnhindustrial.com</w:t>
        </w:r>
      </w:hyperlink>
      <w:r w:rsidRPr="003A6CFE">
        <w:rPr>
          <w:rFonts w:eastAsia="SimSun"/>
          <w:color w:val="0000FF"/>
          <w:u w:val="single"/>
          <w:lang w:eastAsia="it-IT" w:bidi="ar-SA"/>
        </w:rPr>
        <w:t>.</w:t>
      </w:r>
    </w:p>
    <w:p w:rsidR="008E4723" w:rsidRPr="003A6CFE" w:rsidRDefault="008E4723" w:rsidP="008E4723">
      <w:pPr>
        <w:rPr>
          <w:rFonts w:eastAsia="SimSun"/>
          <w:b/>
          <w:bCs/>
          <w:lang w:eastAsia="it-IT" w:bidi="ar-SA"/>
        </w:rPr>
      </w:pPr>
    </w:p>
    <w:p w:rsidR="008E4723" w:rsidRPr="003A6CFE" w:rsidRDefault="008E4723" w:rsidP="008E4723">
      <w:pPr>
        <w:rPr>
          <w:rFonts w:eastAsia="SimSun"/>
          <w:b/>
          <w:bCs/>
          <w:lang w:eastAsia="it-IT" w:bidi="ar-SA"/>
        </w:rPr>
      </w:pPr>
    </w:p>
    <w:p w:rsidR="008E4723" w:rsidRPr="003A6CFE" w:rsidRDefault="008E4723" w:rsidP="008E4723">
      <w:pPr>
        <w:rPr>
          <w:rFonts w:eastAsia="SimSun"/>
          <w:b/>
          <w:bCs/>
          <w:lang w:eastAsia="it-IT" w:bidi="ar-SA"/>
        </w:rPr>
      </w:pPr>
      <w:r w:rsidRPr="003A6CFE">
        <w:rPr>
          <w:rFonts w:eastAsia="SimSun"/>
          <w:b/>
          <w:bCs/>
          <w:lang w:eastAsia="it-IT" w:bidi="ar-SA"/>
        </w:rPr>
        <w:t>Para más información, contactar con:</w:t>
      </w:r>
    </w:p>
    <w:p w:rsidR="008E4723" w:rsidRPr="003A6CFE" w:rsidRDefault="008E4723" w:rsidP="008E4723">
      <w:pPr>
        <w:rPr>
          <w:rFonts w:eastAsia="SimSun"/>
          <w:lang w:eastAsia="it-IT" w:bidi="ar-SA"/>
        </w:rPr>
      </w:pPr>
    </w:p>
    <w:p w:rsidR="008E4723" w:rsidRPr="005B41D7" w:rsidRDefault="008E4723" w:rsidP="008E4723">
      <w:pPr>
        <w:rPr>
          <w:rFonts w:ascii="Helvetica" w:eastAsia="SimSun" w:hAnsi="Helvetica" w:cs="Helvetica"/>
          <w:sz w:val="20"/>
          <w:lang w:val="en-US" w:bidi="ar-SA"/>
        </w:rPr>
      </w:pPr>
      <w:r w:rsidRPr="005B41D7">
        <w:rPr>
          <w:rFonts w:eastAsia="SimSun"/>
          <w:lang w:val="en-US" w:eastAsia="it-IT" w:bidi="ar-SA"/>
        </w:rPr>
        <w:t>Nuria Martí (ALARCON &amp; HARRIS)</w:t>
      </w:r>
    </w:p>
    <w:p w:rsidR="008E4723" w:rsidRPr="005B41D7" w:rsidRDefault="008E4723" w:rsidP="008E4723">
      <w:pPr>
        <w:rPr>
          <w:rFonts w:eastAsia="SimSun" w:cs="Arial"/>
          <w:szCs w:val="19"/>
          <w:lang w:val="en-US" w:eastAsia="it-IT" w:bidi="ar-SA"/>
        </w:rPr>
      </w:pPr>
    </w:p>
    <w:p w:rsidR="008E4723" w:rsidRPr="005B41D7" w:rsidRDefault="008E4723" w:rsidP="008E4723">
      <w:pPr>
        <w:rPr>
          <w:rFonts w:eastAsia="SimSun"/>
          <w:lang w:val="en-US" w:eastAsia="it-IT" w:bidi="ar-SA"/>
        </w:rPr>
      </w:pPr>
      <w:r w:rsidRPr="005B41D7">
        <w:rPr>
          <w:rFonts w:eastAsia="SimSun"/>
          <w:lang w:val="en-US" w:eastAsia="it-IT" w:bidi="ar-SA"/>
        </w:rPr>
        <w:t>Tel: +34 91 415 30 20</w:t>
      </w:r>
    </w:p>
    <w:p w:rsidR="008E4723" w:rsidRPr="005B41D7" w:rsidRDefault="008E4723" w:rsidP="008E4723">
      <w:pPr>
        <w:rPr>
          <w:rFonts w:eastAsia="SimSun"/>
          <w:lang w:val="en-US" w:eastAsia="it-IT" w:bidi="ar-SA"/>
        </w:rPr>
      </w:pPr>
    </w:p>
    <w:p w:rsidR="00DF782A" w:rsidRDefault="008E4723" w:rsidP="008E4723">
      <w:pPr>
        <w:jc w:val="both"/>
        <w:rPr>
          <w:rFonts w:eastAsia="SimSun"/>
          <w:lang w:val="en-US" w:eastAsia="it-IT" w:bidi="ar-SA"/>
        </w:rPr>
      </w:pPr>
      <w:r w:rsidRPr="005B41D7">
        <w:rPr>
          <w:rFonts w:eastAsia="SimSun"/>
          <w:lang w:val="en-US" w:eastAsia="it-IT" w:bidi="ar-SA"/>
        </w:rPr>
        <w:t>Email:</w:t>
      </w:r>
      <w:r w:rsidR="00DF782A">
        <w:rPr>
          <w:rFonts w:eastAsia="SimSun"/>
          <w:lang w:val="en-US" w:eastAsia="it-IT" w:bidi="ar-SA"/>
        </w:rPr>
        <w:t xml:space="preserve"> </w:t>
      </w:r>
      <w:hyperlink r:id="rId24" w:history="1">
        <w:r w:rsidR="00DF782A" w:rsidRPr="00012DBA">
          <w:rPr>
            <w:rStyle w:val="Hipervnculo"/>
            <w:rFonts w:eastAsia="SimSun"/>
            <w:lang w:val="en-US" w:eastAsia="it-IT" w:bidi="ar-SA"/>
          </w:rPr>
          <w:t>nmarti@alarconyharris.com</w:t>
        </w:r>
      </w:hyperlink>
      <w:r w:rsidR="00DF782A">
        <w:rPr>
          <w:rFonts w:eastAsia="SimSun"/>
          <w:lang w:val="en-US" w:eastAsia="it-IT" w:bidi="ar-SA"/>
        </w:rPr>
        <w:t xml:space="preserve"> </w:t>
      </w:r>
    </w:p>
    <w:p w:rsidR="000A4F6A" w:rsidRPr="005B41D7" w:rsidRDefault="00DF782A" w:rsidP="008E4723">
      <w:pPr>
        <w:jc w:val="both"/>
        <w:rPr>
          <w:rFonts w:cs="Arial"/>
          <w:vanish/>
          <w:szCs w:val="19"/>
          <w:lang w:val="en-US"/>
        </w:rPr>
      </w:pPr>
      <w:r>
        <w:rPr>
          <w:rFonts w:eastAsia="SimSun"/>
          <w:lang w:val="en-US" w:eastAsia="it-IT" w:bidi="ar-SA"/>
        </w:rPr>
        <w:t xml:space="preserve"> </w:t>
      </w:r>
    </w:p>
    <w:sectPr w:rsidR="000A4F6A" w:rsidRPr="005B41D7" w:rsidSect="00D01F1C">
      <w:headerReference w:type="default" r:id="rId25"/>
      <w:footerReference w:type="default" r:id="rId26"/>
      <w:headerReference w:type="first" r:id="rId27"/>
      <w:footerReference w:type="first" r:id="rId28"/>
      <w:pgSz w:w="11906" w:h="16838"/>
      <w:pgMar w:top="2835" w:right="851" w:bottom="2608" w:left="2552" w:header="567" w:footer="567" w:gutter="0"/>
      <w:cols w:space="708"/>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1444" w:rsidRDefault="00A51444">
      <w:pPr>
        <w:spacing w:line="240" w:lineRule="auto"/>
      </w:pPr>
      <w:r>
        <w:separator/>
      </w:r>
    </w:p>
  </w:endnote>
  <w:endnote w:type="continuationSeparator" w:id="0">
    <w:p w:rsidR="00A51444" w:rsidRDefault="00A5144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ill Sans">
    <w:charset w:val="00"/>
    <w:family w:val="auto"/>
    <w:pitch w:val="variable"/>
    <w:sig w:usb0="80000267" w:usb1="00000000" w:usb2="00000000" w:usb3="00000000" w:csb0="000001F7"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30B1" w:rsidRDefault="004230B1" w:rsidP="00D01F1C">
    <w:pPr>
      <w:pStyle w:val="Piedepgina"/>
    </w:pPr>
  </w:p>
  <w:p w:rsidR="004230B1" w:rsidRDefault="004230B1" w:rsidP="00D01F1C">
    <w:pPr>
      <w:pStyle w:val="Piedepgina"/>
    </w:pPr>
  </w:p>
  <w:p w:rsidR="004230B1" w:rsidRDefault="004230B1" w:rsidP="00D01F1C">
    <w:pPr>
      <w:pStyle w:val="Piedepgina"/>
    </w:pPr>
  </w:p>
  <w:p w:rsidR="004230B1" w:rsidRDefault="004230B1" w:rsidP="00D01F1C">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30B1" w:rsidRPr="00C7201A" w:rsidRDefault="004230B1" w:rsidP="00D01F1C">
    <w:pPr>
      <w:pStyle w:val="04FOOTER"/>
      <w:framePr w:w="182" w:h="177" w:hRule="exact" w:wrap="around" w:vAnchor="page" w:hAnchor="page" w:x="442" w:y="1638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1444" w:rsidRDefault="00A51444">
      <w:pPr>
        <w:spacing w:line="240" w:lineRule="auto"/>
      </w:pPr>
      <w:r>
        <w:separator/>
      </w:r>
    </w:p>
  </w:footnote>
  <w:footnote w:type="continuationSeparator" w:id="0">
    <w:p w:rsidR="00A51444" w:rsidRDefault="00A51444">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30B1" w:rsidRDefault="004230B1" w:rsidP="00D01F1C">
    <w:r>
      <w:rPr>
        <w:noProof/>
        <w:lang w:bidi="ar-SA"/>
      </w:rPr>
      <w:drawing>
        <wp:anchor distT="0" distB="0" distL="114300" distR="114300" simplePos="0" relativeHeight="251659776" behindDoc="1" locked="0" layoutInCell="1" allowOverlap="1">
          <wp:simplePos x="0" y="0"/>
          <wp:positionH relativeFrom="margin">
            <wp:posOffset>-1353820</wp:posOffset>
          </wp:positionH>
          <wp:positionV relativeFrom="margin">
            <wp:posOffset>-1343025</wp:posOffset>
          </wp:positionV>
          <wp:extent cx="1236345" cy="444500"/>
          <wp:effectExtent l="0" t="0" r="8255" b="12700"/>
          <wp:wrapNone/>
          <wp:docPr id="51" name="Imagen 2"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anchor>
      </w:drawing>
    </w:r>
    <w:r w:rsidR="00A82A7A">
      <w:rPr>
        <w:noProof/>
        <w:lang w:bidi="ar-SA"/>
      </w:rPr>
      <w:pict>
        <v:line id="Line 47" o:spid="_x0000_s12291" style="position:absolute;z-index:251656704;visibility:visible;mso-wrap-distance-top:-3e-5mm;mso-wrap-distance-bottom:-3e-5mm;mso-position-horizontal-relative:text;mso-position-vertical-relative:text" from="-.05pt,35.65pt" to="539.95pt,3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" strokeweight=".11pt"/>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vertAnchor="page" w:horzAnchor="page" w:tblpX="2553" w:tblpY="15310"/>
      <w:tblW w:w="8809" w:type="dxa"/>
      <w:tblCellMar>
        <w:left w:w="0" w:type="dxa"/>
        <w:right w:w="0" w:type="dxa"/>
      </w:tblCellMar>
      <w:tblLook w:val="00A0" w:firstRow="1" w:lastRow="0" w:firstColumn="1" w:lastColumn="0" w:noHBand="0" w:noVBand="0"/>
    </w:tblPr>
    <w:tblGrid>
      <w:gridCol w:w="2614"/>
      <w:gridCol w:w="2835"/>
      <w:gridCol w:w="3360"/>
    </w:tblGrid>
    <w:tr w:rsidR="004230B1" w:rsidRPr="00C7201A">
      <w:trPr>
        <w:trHeight w:val="735"/>
      </w:trPr>
      <w:tc>
        <w:tcPr>
          <w:tcW w:w="2614" w:type="dxa"/>
          <w:shd w:val="clear" w:color="auto" w:fill="auto"/>
          <w:vAlign w:val="bottom"/>
        </w:tcPr>
        <w:p w:rsidR="004230B1" w:rsidRPr="00750ACB" w:rsidRDefault="004230B1" w:rsidP="00D01F1C">
          <w:pPr>
            <w:pStyle w:val="04FOOTER"/>
            <w:ind w:right="-101"/>
            <w:rPr>
              <w:sz w:val="14"/>
              <w:highlight w:val="yellow"/>
            </w:rPr>
          </w:pPr>
        </w:p>
      </w:tc>
      <w:tc>
        <w:tcPr>
          <w:tcW w:w="2835" w:type="dxa"/>
          <w:vAlign w:val="bottom"/>
        </w:tcPr>
        <w:p w:rsidR="004230B1" w:rsidRPr="00750ACB" w:rsidRDefault="004230B1" w:rsidP="00D01F1C">
          <w:pPr>
            <w:pStyle w:val="04FOOTER"/>
            <w:ind w:right="-101"/>
            <w:rPr>
              <w:sz w:val="14"/>
              <w:highlight w:val="yellow"/>
            </w:rPr>
          </w:pPr>
        </w:p>
      </w:tc>
      <w:tc>
        <w:tcPr>
          <w:tcW w:w="3360" w:type="dxa"/>
          <w:shd w:val="clear" w:color="auto" w:fill="auto"/>
          <w:vAlign w:val="bottom"/>
        </w:tcPr>
        <w:p w:rsidR="004230B1" w:rsidRPr="00750ACB" w:rsidRDefault="004230B1" w:rsidP="00D01F1C">
          <w:pPr>
            <w:pStyle w:val="04FOOTER"/>
            <w:ind w:right="-101"/>
            <w:rPr>
              <w:sz w:val="14"/>
              <w:highlight w:val="yellow"/>
            </w:rPr>
          </w:pPr>
        </w:p>
      </w:tc>
    </w:tr>
  </w:tbl>
  <w:p w:rsidR="004230B1" w:rsidRPr="00B32BE8" w:rsidRDefault="004230B1" w:rsidP="00D01F1C">
    <w:pPr>
      <w:rPr>
        <w:vanish/>
      </w:rPr>
    </w:pPr>
  </w:p>
  <w:tbl>
    <w:tblPr>
      <w:tblpPr w:leftFromText="142" w:rightFromText="142" w:vertAnchor="page" w:horzAnchor="page" w:tblpX="982" w:tblpY="7565"/>
      <w:tblW w:w="0" w:type="auto"/>
      <w:tblCellMar>
        <w:left w:w="0" w:type="dxa"/>
        <w:right w:w="0" w:type="dxa"/>
      </w:tblCellMar>
      <w:tblLook w:val="04A0" w:firstRow="1" w:lastRow="0" w:firstColumn="1" w:lastColumn="0" w:noHBand="0" w:noVBand="1"/>
    </w:tblPr>
    <w:tblGrid>
      <w:gridCol w:w="606"/>
    </w:tblGrid>
    <w:tr w:rsidR="004230B1">
      <w:trPr>
        <w:trHeight w:val="5211"/>
      </w:trPr>
      <w:tc>
        <w:tcPr>
          <w:tcW w:w="606" w:type="dxa"/>
          <w:shd w:val="clear" w:color="auto" w:fill="auto"/>
          <w:vAlign w:val="bottom"/>
        </w:tcPr>
        <w:p w:rsidR="004230B1" w:rsidRDefault="004230B1" w:rsidP="00D01F1C">
          <w:pPr>
            <w:pStyle w:val="01TESTO"/>
          </w:pPr>
          <w:r>
            <w:rPr>
              <w:noProof/>
              <w:lang w:bidi="ar-SA"/>
            </w:rPr>
            <w:drawing>
              <wp:anchor distT="0" distB="0" distL="114300" distR="114300" simplePos="0" relativeHeight="251660800" behindDoc="1" locked="0" layoutInCell="1" allowOverlap="1">
                <wp:simplePos x="0" y="0"/>
                <wp:positionH relativeFrom="column">
                  <wp:posOffset>0</wp:posOffset>
                </wp:positionH>
                <wp:positionV relativeFrom="page">
                  <wp:posOffset>0</wp:posOffset>
                </wp:positionV>
                <wp:extent cx="387350" cy="3239135"/>
                <wp:effectExtent l="0" t="0" r="0" b="12065"/>
                <wp:wrapNone/>
                <wp:docPr id="50"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anchor>
            </w:drawing>
          </w:r>
        </w:p>
      </w:tc>
    </w:tr>
  </w:tbl>
  <w:p w:rsidR="004230B1" w:rsidRDefault="004230B1" w:rsidP="00D01F1C">
    <w:r>
      <w:rPr>
        <w:noProof/>
        <w:lang w:bidi="ar-SA"/>
      </w:rPr>
      <w:drawing>
        <wp:anchor distT="0" distB="0" distL="114300" distR="114300" simplePos="0" relativeHeight="251657728" behindDoc="1" locked="0" layoutInCell="1" allowOverlap="1">
          <wp:simplePos x="0" y="0"/>
          <wp:positionH relativeFrom="column">
            <wp:posOffset>-1106170</wp:posOffset>
          </wp:positionH>
          <wp:positionV relativeFrom="paragraph">
            <wp:posOffset>3606165</wp:posOffset>
          </wp:positionV>
          <wp:extent cx="622300" cy="368300"/>
          <wp:effectExtent l="0" t="0" r="12700" b="12700"/>
          <wp:wrapNone/>
          <wp:docPr id="49" name="Immagine 38"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8" descr="CNH"/>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anchor>
      </w:drawing>
    </w:r>
    <w:r>
      <w:rPr>
        <w:noProof/>
        <w:lang w:bidi="ar-SA"/>
      </w:rPr>
      <w:drawing>
        <wp:anchor distT="0" distB="0" distL="114300" distR="114300" simplePos="0" relativeHeight="251658752" behindDoc="1" locked="0" layoutInCell="1" allowOverlap="1">
          <wp:simplePos x="0" y="0"/>
          <wp:positionH relativeFrom="margin">
            <wp:posOffset>-1353820</wp:posOffset>
          </wp:positionH>
          <wp:positionV relativeFrom="margin">
            <wp:posOffset>-1343025</wp:posOffset>
          </wp:positionV>
          <wp:extent cx="1236345" cy="444500"/>
          <wp:effectExtent l="0" t="0" r="8255" b="12700"/>
          <wp:wrapNone/>
          <wp:docPr id="48" name="Imagen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8" descr="03_CASE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anchor>
      </w:drawing>
    </w:r>
    <w:r w:rsidR="00A82A7A">
      <w:rPr>
        <w:noProof/>
        <w:lang w:bidi="ar-SA"/>
      </w:rPr>
      <w:pict>
        <v:line id="Line 34" o:spid="_x0000_s12290" style="position:absolute;z-index:251654656;visibility:visible;mso-wrap-distance-top:-3e-5mm;mso-wrap-distance-bottom:-3e-5mm;mso-position-horizontal-relative:text;mso-position-vertical-relative:text" from="-.1pt,35.85pt" to="557.9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" strokeweight=".03739mm"/>
      </w:pict>
    </w:r>
    <w:r w:rsidR="00A82A7A">
      <w:rPr>
        <w:noProof/>
        <w:lang w:bidi="ar-SA"/>
      </w:rPr>
      <w:pict>
        <v:line id="Line 35" o:spid="_x0000_s12289" style="position:absolute;z-index:251655680;visibility:visible;mso-wrap-distance-top:-3e-5mm;mso-wrap-distance-bottom:-3e-5mm;mso-position-horizontal-relative:text;mso-position-vertical-relative:text" from="-153.15pt,268.85pt" to="-99.15pt,26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" strokeweight=".03739mm"/>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6B2F84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45F22A32"/>
    <w:multiLevelType w:val="hybridMultilevel"/>
    <w:tmpl w:val="D3DE8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4024FB5"/>
    <w:multiLevelType w:val="hybridMultilevel"/>
    <w:tmpl w:val="6212C19E"/>
    <w:lvl w:ilvl="0" w:tplc="9A8A2DAE">
      <w:numFmt w:val="bullet"/>
      <w:lvlText w:val="-"/>
      <w:lvlJc w:val="left"/>
      <w:pPr>
        <w:ind w:left="460" w:hanging="360"/>
      </w:pPr>
      <w:rPr>
        <w:rFonts w:ascii="Arial" w:eastAsia="Times New Roman" w:hAnsi="Arial" w:cs="Arial" w:hint="default"/>
      </w:rPr>
    </w:lvl>
    <w:lvl w:ilvl="1" w:tplc="04090003" w:tentative="1">
      <w:start w:val="1"/>
      <w:numFmt w:val="bullet"/>
      <w:lvlText w:val="o"/>
      <w:lvlJc w:val="left"/>
      <w:pPr>
        <w:ind w:left="1180" w:hanging="360"/>
      </w:pPr>
      <w:rPr>
        <w:rFonts w:ascii="Courier New" w:hAnsi="Courier New" w:hint="default"/>
      </w:rPr>
    </w:lvl>
    <w:lvl w:ilvl="2" w:tplc="04090005" w:tentative="1">
      <w:start w:val="1"/>
      <w:numFmt w:val="bullet"/>
      <w:lvlText w:val=""/>
      <w:lvlJc w:val="left"/>
      <w:pPr>
        <w:ind w:left="1900" w:hanging="360"/>
      </w:pPr>
      <w:rPr>
        <w:rFonts w:ascii="Wingdings" w:hAnsi="Wingdings" w:hint="default"/>
      </w:rPr>
    </w:lvl>
    <w:lvl w:ilvl="3" w:tplc="04090001" w:tentative="1">
      <w:start w:val="1"/>
      <w:numFmt w:val="bullet"/>
      <w:lvlText w:val=""/>
      <w:lvlJc w:val="left"/>
      <w:pPr>
        <w:ind w:left="2620" w:hanging="360"/>
      </w:pPr>
      <w:rPr>
        <w:rFonts w:ascii="Symbol" w:hAnsi="Symbol" w:hint="default"/>
      </w:rPr>
    </w:lvl>
    <w:lvl w:ilvl="4" w:tplc="04090003" w:tentative="1">
      <w:start w:val="1"/>
      <w:numFmt w:val="bullet"/>
      <w:lvlText w:val="o"/>
      <w:lvlJc w:val="left"/>
      <w:pPr>
        <w:ind w:left="3340" w:hanging="360"/>
      </w:pPr>
      <w:rPr>
        <w:rFonts w:ascii="Courier New" w:hAnsi="Courier New" w:hint="default"/>
      </w:rPr>
    </w:lvl>
    <w:lvl w:ilvl="5" w:tplc="04090005" w:tentative="1">
      <w:start w:val="1"/>
      <w:numFmt w:val="bullet"/>
      <w:lvlText w:val=""/>
      <w:lvlJc w:val="left"/>
      <w:pPr>
        <w:ind w:left="4060" w:hanging="360"/>
      </w:pPr>
      <w:rPr>
        <w:rFonts w:ascii="Wingdings" w:hAnsi="Wingdings" w:hint="default"/>
      </w:rPr>
    </w:lvl>
    <w:lvl w:ilvl="6" w:tplc="04090001" w:tentative="1">
      <w:start w:val="1"/>
      <w:numFmt w:val="bullet"/>
      <w:lvlText w:val=""/>
      <w:lvlJc w:val="left"/>
      <w:pPr>
        <w:ind w:left="4780" w:hanging="360"/>
      </w:pPr>
      <w:rPr>
        <w:rFonts w:ascii="Symbol" w:hAnsi="Symbol" w:hint="default"/>
      </w:rPr>
    </w:lvl>
    <w:lvl w:ilvl="7" w:tplc="04090003" w:tentative="1">
      <w:start w:val="1"/>
      <w:numFmt w:val="bullet"/>
      <w:lvlText w:val="o"/>
      <w:lvlJc w:val="left"/>
      <w:pPr>
        <w:ind w:left="5500" w:hanging="360"/>
      </w:pPr>
      <w:rPr>
        <w:rFonts w:ascii="Courier New" w:hAnsi="Courier New" w:hint="default"/>
      </w:rPr>
    </w:lvl>
    <w:lvl w:ilvl="8" w:tplc="04090005" w:tentative="1">
      <w:start w:val="1"/>
      <w:numFmt w:val="bullet"/>
      <w:lvlText w:val=""/>
      <w:lvlJc w:val="left"/>
      <w:pPr>
        <w:ind w:left="622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attachedTemplate r:id="rId1"/>
  <w:defaultTabStop w:val="720"/>
  <w:hyphenationZone w:val="283"/>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12292" fill="f" fillcolor="white" stroke="f">
      <v:fill color="white" on="f"/>
      <v:stroke on="f"/>
    </o:shapedefaults>
    <o:shapelayout v:ext="edit">
      <o:idmap v:ext="edit" data="12"/>
    </o:shapelayout>
  </w:hdrShapeDefaults>
  <w:footnotePr>
    <w:footnote w:id="-1"/>
    <w:footnote w:id="0"/>
  </w:footnotePr>
  <w:endnotePr>
    <w:endnote w:id="-1"/>
    <w:endnote w:id="0"/>
  </w:endnotePr>
  <w:compat>
    <w:compatSetting w:name="compatibilityMode" w:uri="http://schemas.microsoft.com/office/word" w:val="14"/>
  </w:compat>
  <w:rsids>
    <w:rsidRoot w:val="00B32BE8"/>
    <w:rsid w:val="000120A1"/>
    <w:rsid w:val="0001433C"/>
    <w:rsid w:val="0001567C"/>
    <w:rsid w:val="00017072"/>
    <w:rsid w:val="00021EE3"/>
    <w:rsid w:val="000222F2"/>
    <w:rsid w:val="00024426"/>
    <w:rsid w:val="0003536F"/>
    <w:rsid w:val="00036197"/>
    <w:rsid w:val="0004651C"/>
    <w:rsid w:val="00047C96"/>
    <w:rsid w:val="00060289"/>
    <w:rsid w:val="00065412"/>
    <w:rsid w:val="00070004"/>
    <w:rsid w:val="0008171E"/>
    <w:rsid w:val="000849DF"/>
    <w:rsid w:val="00084B1F"/>
    <w:rsid w:val="00084D26"/>
    <w:rsid w:val="0009610F"/>
    <w:rsid w:val="000A4F6A"/>
    <w:rsid w:val="000B6CF5"/>
    <w:rsid w:val="000E1A7E"/>
    <w:rsid w:val="000E2102"/>
    <w:rsid w:val="000E71CF"/>
    <w:rsid w:val="000E7733"/>
    <w:rsid w:val="000F2B17"/>
    <w:rsid w:val="000F5EE1"/>
    <w:rsid w:val="000F7DA3"/>
    <w:rsid w:val="00104791"/>
    <w:rsid w:val="00105F55"/>
    <w:rsid w:val="00113BBD"/>
    <w:rsid w:val="001148C3"/>
    <w:rsid w:val="00117552"/>
    <w:rsid w:val="00120A22"/>
    <w:rsid w:val="00121E80"/>
    <w:rsid w:val="00132964"/>
    <w:rsid w:val="0013796A"/>
    <w:rsid w:val="00156BEB"/>
    <w:rsid w:val="00157752"/>
    <w:rsid w:val="001618D6"/>
    <w:rsid w:val="001642D7"/>
    <w:rsid w:val="00166BE9"/>
    <w:rsid w:val="00170B08"/>
    <w:rsid w:val="00171CD9"/>
    <w:rsid w:val="00173B3D"/>
    <w:rsid w:val="00174619"/>
    <w:rsid w:val="0017544B"/>
    <w:rsid w:val="001767F2"/>
    <w:rsid w:val="001822D4"/>
    <w:rsid w:val="001841DA"/>
    <w:rsid w:val="00191B6C"/>
    <w:rsid w:val="00194B71"/>
    <w:rsid w:val="001951A2"/>
    <w:rsid w:val="00195CCA"/>
    <w:rsid w:val="00196F60"/>
    <w:rsid w:val="00197D07"/>
    <w:rsid w:val="001A33D9"/>
    <w:rsid w:val="001A37A3"/>
    <w:rsid w:val="001B5634"/>
    <w:rsid w:val="001C3014"/>
    <w:rsid w:val="001C7F3E"/>
    <w:rsid w:val="001D08A3"/>
    <w:rsid w:val="001D1C29"/>
    <w:rsid w:val="001D5BC1"/>
    <w:rsid w:val="001E3531"/>
    <w:rsid w:val="00221028"/>
    <w:rsid w:val="002248FC"/>
    <w:rsid w:val="00225E0B"/>
    <w:rsid w:val="002272D1"/>
    <w:rsid w:val="00232141"/>
    <w:rsid w:val="00237128"/>
    <w:rsid w:val="0024223A"/>
    <w:rsid w:val="0025333B"/>
    <w:rsid w:val="00263776"/>
    <w:rsid w:val="00266A1A"/>
    <w:rsid w:val="00271B83"/>
    <w:rsid w:val="00273BE8"/>
    <w:rsid w:val="00282A60"/>
    <w:rsid w:val="00283150"/>
    <w:rsid w:val="002866E6"/>
    <w:rsid w:val="00287362"/>
    <w:rsid w:val="00293CEA"/>
    <w:rsid w:val="00295F5B"/>
    <w:rsid w:val="00296740"/>
    <w:rsid w:val="002A0272"/>
    <w:rsid w:val="002A0A55"/>
    <w:rsid w:val="002A0D85"/>
    <w:rsid w:val="002A6C54"/>
    <w:rsid w:val="002B0D45"/>
    <w:rsid w:val="002B4B2A"/>
    <w:rsid w:val="002B5341"/>
    <w:rsid w:val="002D70C1"/>
    <w:rsid w:val="002E0413"/>
    <w:rsid w:val="002E42D8"/>
    <w:rsid w:val="002E66C7"/>
    <w:rsid w:val="002F6342"/>
    <w:rsid w:val="002F7342"/>
    <w:rsid w:val="002F74C3"/>
    <w:rsid w:val="00304652"/>
    <w:rsid w:val="003216EB"/>
    <w:rsid w:val="00325CA3"/>
    <w:rsid w:val="00326B5B"/>
    <w:rsid w:val="00330590"/>
    <w:rsid w:val="00336C6F"/>
    <w:rsid w:val="00343458"/>
    <w:rsid w:val="003577EC"/>
    <w:rsid w:val="00363FE5"/>
    <w:rsid w:val="003761F5"/>
    <w:rsid w:val="00376E0D"/>
    <w:rsid w:val="003818E0"/>
    <w:rsid w:val="003835B0"/>
    <w:rsid w:val="003848BA"/>
    <w:rsid w:val="00386BD6"/>
    <w:rsid w:val="00386F45"/>
    <w:rsid w:val="003925AD"/>
    <w:rsid w:val="00394194"/>
    <w:rsid w:val="003A25BD"/>
    <w:rsid w:val="003A6CFE"/>
    <w:rsid w:val="003A7179"/>
    <w:rsid w:val="003A7844"/>
    <w:rsid w:val="003B01A0"/>
    <w:rsid w:val="003B1753"/>
    <w:rsid w:val="003B6440"/>
    <w:rsid w:val="003B66D3"/>
    <w:rsid w:val="003B68E3"/>
    <w:rsid w:val="003C1713"/>
    <w:rsid w:val="003C1A58"/>
    <w:rsid w:val="003C4F6A"/>
    <w:rsid w:val="003D21A6"/>
    <w:rsid w:val="003D224E"/>
    <w:rsid w:val="003D4B8A"/>
    <w:rsid w:val="003E30F0"/>
    <w:rsid w:val="003E6488"/>
    <w:rsid w:val="003E69C1"/>
    <w:rsid w:val="003F2BAE"/>
    <w:rsid w:val="003F3969"/>
    <w:rsid w:val="00410435"/>
    <w:rsid w:val="004149A9"/>
    <w:rsid w:val="004230B1"/>
    <w:rsid w:val="0042385C"/>
    <w:rsid w:val="00426608"/>
    <w:rsid w:val="00432D77"/>
    <w:rsid w:val="0043406A"/>
    <w:rsid w:val="00453C3D"/>
    <w:rsid w:val="004543CA"/>
    <w:rsid w:val="00454A9E"/>
    <w:rsid w:val="00461F89"/>
    <w:rsid w:val="0046276A"/>
    <w:rsid w:val="004627BF"/>
    <w:rsid w:val="004632B1"/>
    <w:rsid w:val="00463600"/>
    <w:rsid w:val="00463B08"/>
    <w:rsid w:val="0046565A"/>
    <w:rsid w:val="00467BD4"/>
    <w:rsid w:val="00473E67"/>
    <w:rsid w:val="00474ED5"/>
    <w:rsid w:val="00477548"/>
    <w:rsid w:val="0048550D"/>
    <w:rsid w:val="00485B81"/>
    <w:rsid w:val="00491B25"/>
    <w:rsid w:val="004925F9"/>
    <w:rsid w:val="00493824"/>
    <w:rsid w:val="0049383D"/>
    <w:rsid w:val="00494ADF"/>
    <w:rsid w:val="00495277"/>
    <w:rsid w:val="00496DE7"/>
    <w:rsid w:val="004A69F7"/>
    <w:rsid w:val="004B792F"/>
    <w:rsid w:val="004C1A8A"/>
    <w:rsid w:val="004C2ABA"/>
    <w:rsid w:val="004C7C83"/>
    <w:rsid w:val="004D0018"/>
    <w:rsid w:val="004E27F6"/>
    <w:rsid w:val="004E4796"/>
    <w:rsid w:val="004E5104"/>
    <w:rsid w:val="004F363E"/>
    <w:rsid w:val="004F7034"/>
    <w:rsid w:val="004F791E"/>
    <w:rsid w:val="00500EE0"/>
    <w:rsid w:val="00510635"/>
    <w:rsid w:val="005173CB"/>
    <w:rsid w:val="0052035D"/>
    <w:rsid w:val="005212D9"/>
    <w:rsid w:val="005227B5"/>
    <w:rsid w:val="00523FB4"/>
    <w:rsid w:val="005240E6"/>
    <w:rsid w:val="005243A9"/>
    <w:rsid w:val="00526224"/>
    <w:rsid w:val="00527696"/>
    <w:rsid w:val="0053481D"/>
    <w:rsid w:val="00542899"/>
    <w:rsid w:val="005471DD"/>
    <w:rsid w:val="00551A21"/>
    <w:rsid w:val="00556669"/>
    <w:rsid w:val="00561387"/>
    <w:rsid w:val="00567398"/>
    <w:rsid w:val="0057356A"/>
    <w:rsid w:val="00582D6E"/>
    <w:rsid w:val="00582DC8"/>
    <w:rsid w:val="00595532"/>
    <w:rsid w:val="0059734F"/>
    <w:rsid w:val="005A5028"/>
    <w:rsid w:val="005A6C8C"/>
    <w:rsid w:val="005A6EAB"/>
    <w:rsid w:val="005A73A9"/>
    <w:rsid w:val="005B0434"/>
    <w:rsid w:val="005B06CD"/>
    <w:rsid w:val="005B41D7"/>
    <w:rsid w:val="005B77F1"/>
    <w:rsid w:val="005C1E9F"/>
    <w:rsid w:val="005C5C46"/>
    <w:rsid w:val="005D0DFE"/>
    <w:rsid w:val="005D1D11"/>
    <w:rsid w:val="005D2A71"/>
    <w:rsid w:val="005D6457"/>
    <w:rsid w:val="0060424F"/>
    <w:rsid w:val="00612508"/>
    <w:rsid w:val="00617B37"/>
    <w:rsid w:val="00623E11"/>
    <w:rsid w:val="00632A9D"/>
    <w:rsid w:val="00634A12"/>
    <w:rsid w:val="0063533E"/>
    <w:rsid w:val="00637C30"/>
    <w:rsid w:val="006406D5"/>
    <w:rsid w:val="0064142F"/>
    <w:rsid w:val="00646A70"/>
    <w:rsid w:val="0065024B"/>
    <w:rsid w:val="00652C19"/>
    <w:rsid w:val="00656444"/>
    <w:rsid w:val="00662AF5"/>
    <w:rsid w:val="006650AB"/>
    <w:rsid w:val="00682611"/>
    <w:rsid w:val="006835F8"/>
    <w:rsid w:val="006844E7"/>
    <w:rsid w:val="006869DA"/>
    <w:rsid w:val="0068715E"/>
    <w:rsid w:val="00687FC8"/>
    <w:rsid w:val="0069041B"/>
    <w:rsid w:val="0069054B"/>
    <w:rsid w:val="00696028"/>
    <w:rsid w:val="006963E9"/>
    <w:rsid w:val="00697577"/>
    <w:rsid w:val="006A27EA"/>
    <w:rsid w:val="006B6661"/>
    <w:rsid w:val="006B6D79"/>
    <w:rsid w:val="006C1B2A"/>
    <w:rsid w:val="006E4181"/>
    <w:rsid w:val="006E5758"/>
    <w:rsid w:val="006E650B"/>
    <w:rsid w:val="006E75BF"/>
    <w:rsid w:val="00704A21"/>
    <w:rsid w:val="00707BB8"/>
    <w:rsid w:val="007117E5"/>
    <w:rsid w:val="00711DE5"/>
    <w:rsid w:val="00720E55"/>
    <w:rsid w:val="0072308B"/>
    <w:rsid w:val="00723D5B"/>
    <w:rsid w:val="00725406"/>
    <w:rsid w:val="00725DED"/>
    <w:rsid w:val="0072724F"/>
    <w:rsid w:val="00732D13"/>
    <w:rsid w:val="0073328C"/>
    <w:rsid w:val="00736861"/>
    <w:rsid w:val="00752F5C"/>
    <w:rsid w:val="0075642A"/>
    <w:rsid w:val="00757B78"/>
    <w:rsid w:val="00761C00"/>
    <w:rsid w:val="0076781F"/>
    <w:rsid w:val="0077205D"/>
    <w:rsid w:val="007812B4"/>
    <w:rsid w:val="00784D02"/>
    <w:rsid w:val="00792C47"/>
    <w:rsid w:val="007A18B5"/>
    <w:rsid w:val="007B3B4C"/>
    <w:rsid w:val="007C2782"/>
    <w:rsid w:val="007C3390"/>
    <w:rsid w:val="007C4170"/>
    <w:rsid w:val="007C62AF"/>
    <w:rsid w:val="007C7733"/>
    <w:rsid w:val="007D04F6"/>
    <w:rsid w:val="007D0F92"/>
    <w:rsid w:val="007D39AD"/>
    <w:rsid w:val="007E1AD8"/>
    <w:rsid w:val="007E6E58"/>
    <w:rsid w:val="007E6FAD"/>
    <w:rsid w:val="007F078C"/>
    <w:rsid w:val="007F2101"/>
    <w:rsid w:val="007F572A"/>
    <w:rsid w:val="008062BC"/>
    <w:rsid w:val="008222D0"/>
    <w:rsid w:val="008327F4"/>
    <w:rsid w:val="00835F22"/>
    <w:rsid w:val="008416ED"/>
    <w:rsid w:val="008418A7"/>
    <w:rsid w:val="00847CCF"/>
    <w:rsid w:val="008510AB"/>
    <w:rsid w:val="00852ABE"/>
    <w:rsid w:val="008549A3"/>
    <w:rsid w:val="00857C2E"/>
    <w:rsid w:val="008632C3"/>
    <w:rsid w:val="00863785"/>
    <w:rsid w:val="0086570B"/>
    <w:rsid w:val="00870317"/>
    <w:rsid w:val="00875FC4"/>
    <w:rsid w:val="00876FEA"/>
    <w:rsid w:val="00885D98"/>
    <w:rsid w:val="00890809"/>
    <w:rsid w:val="00892696"/>
    <w:rsid w:val="0089670D"/>
    <w:rsid w:val="008A14E0"/>
    <w:rsid w:val="008B1353"/>
    <w:rsid w:val="008B1E9C"/>
    <w:rsid w:val="008B33A6"/>
    <w:rsid w:val="008B4C8B"/>
    <w:rsid w:val="008B608C"/>
    <w:rsid w:val="008C5AAC"/>
    <w:rsid w:val="008D2A7B"/>
    <w:rsid w:val="008D4A64"/>
    <w:rsid w:val="008D7781"/>
    <w:rsid w:val="008E3ADA"/>
    <w:rsid w:val="008E4723"/>
    <w:rsid w:val="008E6D38"/>
    <w:rsid w:val="008F459C"/>
    <w:rsid w:val="008F5499"/>
    <w:rsid w:val="00901F74"/>
    <w:rsid w:val="0090486D"/>
    <w:rsid w:val="00911291"/>
    <w:rsid w:val="00922012"/>
    <w:rsid w:val="0092405C"/>
    <w:rsid w:val="009354AA"/>
    <w:rsid w:val="0093575E"/>
    <w:rsid w:val="00936668"/>
    <w:rsid w:val="00941BBA"/>
    <w:rsid w:val="0094780E"/>
    <w:rsid w:val="00975565"/>
    <w:rsid w:val="00977FE9"/>
    <w:rsid w:val="009840E2"/>
    <w:rsid w:val="00986747"/>
    <w:rsid w:val="00986929"/>
    <w:rsid w:val="0099762C"/>
    <w:rsid w:val="009A09AF"/>
    <w:rsid w:val="009A2480"/>
    <w:rsid w:val="009A393F"/>
    <w:rsid w:val="009A753B"/>
    <w:rsid w:val="009C0E16"/>
    <w:rsid w:val="009C4DE7"/>
    <w:rsid w:val="009C5112"/>
    <w:rsid w:val="009E2F65"/>
    <w:rsid w:val="009F4E16"/>
    <w:rsid w:val="009F6697"/>
    <w:rsid w:val="00A0356F"/>
    <w:rsid w:val="00A03FB5"/>
    <w:rsid w:val="00A06413"/>
    <w:rsid w:val="00A071F9"/>
    <w:rsid w:val="00A11C95"/>
    <w:rsid w:val="00A124E3"/>
    <w:rsid w:val="00A20A0A"/>
    <w:rsid w:val="00A21A18"/>
    <w:rsid w:val="00A25B5E"/>
    <w:rsid w:val="00A33AFD"/>
    <w:rsid w:val="00A35D4D"/>
    <w:rsid w:val="00A36F0E"/>
    <w:rsid w:val="00A40810"/>
    <w:rsid w:val="00A46FCF"/>
    <w:rsid w:val="00A51444"/>
    <w:rsid w:val="00A515EF"/>
    <w:rsid w:val="00A526AF"/>
    <w:rsid w:val="00A527D2"/>
    <w:rsid w:val="00A5783E"/>
    <w:rsid w:val="00A6391F"/>
    <w:rsid w:val="00A65079"/>
    <w:rsid w:val="00A6684D"/>
    <w:rsid w:val="00A76496"/>
    <w:rsid w:val="00A806E1"/>
    <w:rsid w:val="00A82A7A"/>
    <w:rsid w:val="00A86168"/>
    <w:rsid w:val="00AA52E9"/>
    <w:rsid w:val="00AA74C6"/>
    <w:rsid w:val="00AB14AB"/>
    <w:rsid w:val="00AC593E"/>
    <w:rsid w:val="00AC59F7"/>
    <w:rsid w:val="00AD1660"/>
    <w:rsid w:val="00AD1B64"/>
    <w:rsid w:val="00AD58F5"/>
    <w:rsid w:val="00AD6A8E"/>
    <w:rsid w:val="00AD6CE6"/>
    <w:rsid w:val="00AF4801"/>
    <w:rsid w:val="00B01CBB"/>
    <w:rsid w:val="00B10886"/>
    <w:rsid w:val="00B1137C"/>
    <w:rsid w:val="00B11CAA"/>
    <w:rsid w:val="00B249D8"/>
    <w:rsid w:val="00B26E62"/>
    <w:rsid w:val="00B303C6"/>
    <w:rsid w:val="00B314DB"/>
    <w:rsid w:val="00B32720"/>
    <w:rsid w:val="00B32BE8"/>
    <w:rsid w:val="00B4017B"/>
    <w:rsid w:val="00B4271F"/>
    <w:rsid w:val="00B44C3B"/>
    <w:rsid w:val="00B462D7"/>
    <w:rsid w:val="00B46B04"/>
    <w:rsid w:val="00B53DB2"/>
    <w:rsid w:val="00B55E40"/>
    <w:rsid w:val="00B6126C"/>
    <w:rsid w:val="00B622F0"/>
    <w:rsid w:val="00B71A95"/>
    <w:rsid w:val="00B76635"/>
    <w:rsid w:val="00B81EB6"/>
    <w:rsid w:val="00B85252"/>
    <w:rsid w:val="00B86EA9"/>
    <w:rsid w:val="00B964BE"/>
    <w:rsid w:val="00B96711"/>
    <w:rsid w:val="00BA4EA6"/>
    <w:rsid w:val="00BA6862"/>
    <w:rsid w:val="00BE11D8"/>
    <w:rsid w:val="00BF40B2"/>
    <w:rsid w:val="00BF5403"/>
    <w:rsid w:val="00C00DD7"/>
    <w:rsid w:val="00C00F6A"/>
    <w:rsid w:val="00C07699"/>
    <w:rsid w:val="00C15592"/>
    <w:rsid w:val="00C30F70"/>
    <w:rsid w:val="00C41FA8"/>
    <w:rsid w:val="00C436BD"/>
    <w:rsid w:val="00C4419C"/>
    <w:rsid w:val="00C55837"/>
    <w:rsid w:val="00C5701D"/>
    <w:rsid w:val="00C63D71"/>
    <w:rsid w:val="00C70E26"/>
    <w:rsid w:val="00C7139F"/>
    <w:rsid w:val="00C71BAE"/>
    <w:rsid w:val="00C72D0A"/>
    <w:rsid w:val="00C77355"/>
    <w:rsid w:val="00C85ECD"/>
    <w:rsid w:val="00C91D8A"/>
    <w:rsid w:val="00C9238C"/>
    <w:rsid w:val="00CA5F8E"/>
    <w:rsid w:val="00CB54F7"/>
    <w:rsid w:val="00CC10B5"/>
    <w:rsid w:val="00CC29B6"/>
    <w:rsid w:val="00CC336A"/>
    <w:rsid w:val="00CD0140"/>
    <w:rsid w:val="00CD15D5"/>
    <w:rsid w:val="00CD4B4A"/>
    <w:rsid w:val="00CE29FA"/>
    <w:rsid w:val="00CE43D4"/>
    <w:rsid w:val="00CF072C"/>
    <w:rsid w:val="00CF0C4D"/>
    <w:rsid w:val="00CF46E3"/>
    <w:rsid w:val="00CF52B4"/>
    <w:rsid w:val="00D01F1C"/>
    <w:rsid w:val="00D067C0"/>
    <w:rsid w:val="00D1162B"/>
    <w:rsid w:val="00D12FE5"/>
    <w:rsid w:val="00D13813"/>
    <w:rsid w:val="00D15A2A"/>
    <w:rsid w:val="00D276A6"/>
    <w:rsid w:val="00D3457C"/>
    <w:rsid w:val="00D446D2"/>
    <w:rsid w:val="00D45362"/>
    <w:rsid w:val="00D456A3"/>
    <w:rsid w:val="00D47AE4"/>
    <w:rsid w:val="00D5394C"/>
    <w:rsid w:val="00D544A5"/>
    <w:rsid w:val="00D612C4"/>
    <w:rsid w:val="00D63E9D"/>
    <w:rsid w:val="00D63F55"/>
    <w:rsid w:val="00D722E2"/>
    <w:rsid w:val="00D73CFA"/>
    <w:rsid w:val="00D7746D"/>
    <w:rsid w:val="00D82FE1"/>
    <w:rsid w:val="00D86B46"/>
    <w:rsid w:val="00D9584B"/>
    <w:rsid w:val="00DA3AB9"/>
    <w:rsid w:val="00DC1F91"/>
    <w:rsid w:val="00DC4A12"/>
    <w:rsid w:val="00DD1372"/>
    <w:rsid w:val="00DD352A"/>
    <w:rsid w:val="00DD61FF"/>
    <w:rsid w:val="00DD745C"/>
    <w:rsid w:val="00DD7C58"/>
    <w:rsid w:val="00DF2F26"/>
    <w:rsid w:val="00DF6A14"/>
    <w:rsid w:val="00DF782A"/>
    <w:rsid w:val="00E02ECC"/>
    <w:rsid w:val="00E054C7"/>
    <w:rsid w:val="00E11F0A"/>
    <w:rsid w:val="00E14831"/>
    <w:rsid w:val="00E153C8"/>
    <w:rsid w:val="00E23075"/>
    <w:rsid w:val="00E26958"/>
    <w:rsid w:val="00E35473"/>
    <w:rsid w:val="00E37299"/>
    <w:rsid w:val="00E403B2"/>
    <w:rsid w:val="00E46D85"/>
    <w:rsid w:val="00E51B36"/>
    <w:rsid w:val="00E54BE4"/>
    <w:rsid w:val="00E552F4"/>
    <w:rsid w:val="00E56ED4"/>
    <w:rsid w:val="00E603F5"/>
    <w:rsid w:val="00E61DCC"/>
    <w:rsid w:val="00E621AF"/>
    <w:rsid w:val="00E63AD4"/>
    <w:rsid w:val="00E72EEC"/>
    <w:rsid w:val="00E84A88"/>
    <w:rsid w:val="00E902C9"/>
    <w:rsid w:val="00E937D0"/>
    <w:rsid w:val="00E9717C"/>
    <w:rsid w:val="00EA2763"/>
    <w:rsid w:val="00EC4604"/>
    <w:rsid w:val="00EE5B0D"/>
    <w:rsid w:val="00EE7D68"/>
    <w:rsid w:val="00EF3E92"/>
    <w:rsid w:val="00F02028"/>
    <w:rsid w:val="00F06977"/>
    <w:rsid w:val="00F1595E"/>
    <w:rsid w:val="00F213CD"/>
    <w:rsid w:val="00F3099C"/>
    <w:rsid w:val="00F3383B"/>
    <w:rsid w:val="00F34902"/>
    <w:rsid w:val="00F4331E"/>
    <w:rsid w:val="00F433E0"/>
    <w:rsid w:val="00F43A90"/>
    <w:rsid w:val="00F56D48"/>
    <w:rsid w:val="00F624CE"/>
    <w:rsid w:val="00F62F6F"/>
    <w:rsid w:val="00F7068B"/>
    <w:rsid w:val="00F71AD9"/>
    <w:rsid w:val="00F76120"/>
    <w:rsid w:val="00F77DB9"/>
    <w:rsid w:val="00F8183D"/>
    <w:rsid w:val="00F81DB9"/>
    <w:rsid w:val="00FB20AB"/>
    <w:rsid w:val="00FB67EC"/>
    <w:rsid w:val="00FC7335"/>
    <w:rsid w:val="00FD4FD0"/>
    <w:rsid w:val="00FE248E"/>
    <w:rsid w:val="00FF50A9"/>
    <w:rsid w:val="00FF5D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2292" fill="f" fillcolor="white" stroke="f">
      <v:fill color="white" on="f"/>
      <v:stroke on="f"/>
    </o:shapedefaults>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ES" w:eastAsia="es-ES" w:bidi="es-ES"/>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Hyperlink" w:uiPriority="99"/>
    <w:lsdException w:name="Strong" w:uiPriority="22" w:qFormat="1"/>
    <w:lsdException w:name="Emphasis" w:qFormat="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D4316"/>
    <w:pPr>
      <w:spacing w:line="300" w:lineRule="exact"/>
    </w:pPr>
    <w:rPr>
      <w:rFonts w:ascii="Arial" w:hAnsi="Arial"/>
      <w:color w:val="000000"/>
      <w:sz w:val="19"/>
    </w:rPr>
  </w:style>
  <w:style w:type="paragraph" w:styleId="Ttulo1">
    <w:name w:val="heading 1"/>
    <w:basedOn w:val="Normal"/>
    <w:next w:val="Normal"/>
    <w:qFormat/>
    <w:rsid w:val="00FB1A23"/>
    <w:pPr>
      <w:keepNext/>
      <w:spacing w:before="240" w:after="60"/>
      <w:outlineLvl w:val="0"/>
    </w:pPr>
    <w:rPr>
      <w:b/>
      <w:kern w:val="32"/>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01TESTO">
    <w:name w:val="01_TESTO"/>
    <w:basedOn w:val="Normal"/>
    <w:rsid w:val="00C16525"/>
  </w:style>
  <w:style w:type="paragraph" w:customStyle="1" w:styleId="03INTESTAZIONE">
    <w:name w:val="03 INTESTAZIONE"/>
    <w:basedOn w:val="01TESTO"/>
    <w:rsid w:val="005570E2"/>
    <w:pPr>
      <w:spacing w:line="192" w:lineRule="exact"/>
    </w:pPr>
    <w:rPr>
      <w:sz w:val="16"/>
    </w:rPr>
  </w:style>
  <w:style w:type="paragraph" w:styleId="Piedepgina">
    <w:name w:val="footer"/>
    <w:basedOn w:val="Normal"/>
    <w:semiHidden/>
    <w:rsid w:val="00FB1A23"/>
    <w:pPr>
      <w:tabs>
        <w:tab w:val="center" w:pos="4819"/>
        <w:tab w:val="right" w:pos="9638"/>
      </w:tabs>
    </w:pPr>
  </w:style>
  <w:style w:type="paragraph" w:styleId="Encabezado">
    <w:name w:val="header"/>
    <w:basedOn w:val="Normal"/>
    <w:rsid w:val="005570E2"/>
    <w:pPr>
      <w:tabs>
        <w:tab w:val="center" w:pos="4819"/>
        <w:tab w:val="right" w:pos="9638"/>
      </w:tabs>
    </w:pPr>
  </w:style>
  <w:style w:type="character" w:customStyle="1" w:styleId="02TESTOBOLD">
    <w:name w:val="02_TESTO_BOLD"/>
    <w:rsid w:val="00C5169B"/>
    <w:rPr>
      <w:rFonts w:ascii="Arial" w:hAnsi="Arial"/>
      <w:b/>
      <w:color w:val="000000"/>
      <w:sz w:val="19"/>
    </w:rPr>
  </w:style>
  <w:style w:type="paragraph" w:customStyle="1" w:styleId="04FOOTER">
    <w:name w:val="04_FOOTER"/>
    <w:basedOn w:val="Normal"/>
    <w:rsid w:val="002D4316"/>
    <w:pPr>
      <w:spacing w:line="160" w:lineRule="exact"/>
    </w:pPr>
    <w:rPr>
      <w:sz w:val="15"/>
    </w:rPr>
  </w:style>
  <w:style w:type="character" w:customStyle="1" w:styleId="05FOOTERBOLD">
    <w:name w:val="05_FOOTER_BOLD"/>
    <w:rsid w:val="005570E2"/>
    <w:rPr>
      <w:rFonts w:ascii="Arial" w:hAnsi="Arial"/>
      <w:b/>
      <w:color w:val="000000"/>
      <w:w w:val="100"/>
      <w:sz w:val="15"/>
      <w:u w:val="none"/>
    </w:rPr>
  </w:style>
  <w:style w:type="character" w:styleId="Hipervnculo">
    <w:name w:val="Hyperlink"/>
    <w:uiPriority w:val="99"/>
    <w:unhideWhenUsed/>
    <w:rsid w:val="003F2CD9"/>
    <w:rPr>
      <w:color w:val="0000FF"/>
      <w:u w:val="single"/>
    </w:rPr>
  </w:style>
  <w:style w:type="paragraph" w:customStyle="1" w:styleId="03INTESTAZIONEITALIC">
    <w:name w:val="03 INTESTAZIONE ITALIC"/>
    <w:basedOn w:val="03INTESTAZIONE"/>
    <w:rsid w:val="005570E2"/>
    <w:rPr>
      <w:i/>
    </w:rPr>
  </w:style>
  <w:style w:type="paragraph" w:customStyle="1" w:styleId="03INTESTAZIONEBOLD">
    <w:name w:val="03 INTESTAZIONE BOLD"/>
    <w:basedOn w:val="03INTESTAZIONE"/>
    <w:rsid w:val="00C5169B"/>
    <w:rPr>
      <w:b/>
    </w:rPr>
  </w:style>
  <w:style w:type="character" w:customStyle="1" w:styleId="03INTESTAZIONEITALIC2">
    <w:name w:val="03 INTESTAZIONE ITALIC 2"/>
    <w:rsid w:val="00E46E7A"/>
    <w:rPr>
      <w:rFonts w:ascii="Arial" w:hAnsi="Arial"/>
      <w:i/>
      <w:sz w:val="16"/>
      <w:szCs w:val="16"/>
    </w:rPr>
  </w:style>
  <w:style w:type="table" w:styleId="Tablaconcuadrcula">
    <w:name w:val="Table Grid"/>
    <w:aliases w:val="PIEDINO"/>
    <w:basedOn w:val="Tablanormal"/>
    <w:uiPriority w:val="59"/>
    <w:rsid w:val="002D4316"/>
    <w:pPr>
      <w:spacing w:line="160" w:lineRule="exact"/>
    </w:pPr>
    <w:rPr>
      <w:rFonts w:ascii="Arial" w:hAnsi="Arial"/>
      <w:color w:val="000000"/>
      <w:sz w:val="15"/>
    </w:rPr>
    <w:tblPr>
      <w:tblCellMar>
        <w:left w:w="0" w:type="dxa"/>
        <w:right w:w="0" w:type="dxa"/>
      </w:tblCellMar>
    </w:tblPr>
    <w:tcPr>
      <w:shd w:val="clear" w:color="auto" w:fill="auto"/>
      <w:vAlign w:val="bottom"/>
    </w:tcPr>
  </w:style>
  <w:style w:type="character" w:customStyle="1" w:styleId="03INTESTAZIONEBOLD2">
    <w:name w:val="03 INTESTAZIONE BOLD 2"/>
    <w:rsid w:val="00C7201A"/>
    <w:rPr>
      <w:rFonts w:ascii="Arial" w:hAnsi="Arial"/>
      <w:b/>
      <w:sz w:val="16"/>
    </w:rPr>
  </w:style>
  <w:style w:type="character" w:customStyle="1" w:styleId="hps">
    <w:name w:val="hps"/>
    <w:basedOn w:val="Fuentedeprrafopredeter"/>
    <w:rsid w:val="00EA46C6"/>
  </w:style>
  <w:style w:type="paragraph" w:customStyle="1" w:styleId="Boilerplate">
    <w:name w:val="Boilerplate"/>
    <w:basedOn w:val="Normal"/>
    <w:uiPriority w:val="99"/>
    <w:rsid w:val="001A6607"/>
    <w:pPr>
      <w:spacing w:line="240" w:lineRule="auto"/>
    </w:pPr>
    <w:rPr>
      <w:rFonts w:eastAsia="Times"/>
      <w:i/>
      <w:color w:val="auto"/>
      <w:sz w:val="14"/>
    </w:rPr>
  </w:style>
  <w:style w:type="paragraph" w:customStyle="1" w:styleId="style2">
    <w:name w:val="style2"/>
    <w:basedOn w:val="Normal"/>
    <w:uiPriority w:val="99"/>
    <w:rsid w:val="001A6607"/>
    <w:pPr>
      <w:spacing w:before="100" w:beforeAutospacing="1" w:after="100" w:afterAutospacing="1" w:line="240" w:lineRule="auto"/>
    </w:pPr>
    <w:rPr>
      <w:rFonts w:cs="Arial"/>
      <w:sz w:val="18"/>
      <w:szCs w:val="18"/>
    </w:rPr>
  </w:style>
  <w:style w:type="character" w:styleId="Refdecomentario">
    <w:name w:val="annotation reference"/>
    <w:uiPriority w:val="99"/>
    <w:semiHidden/>
    <w:unhideWhenUsed/>
    <w:rsid w:val="002D70C1"/>
    <w:rPr>
      <w:sz w:val="16"/>
      <w:szCs w:val="16"/>
    </w:rPr>
  </w:style>
  <w:style w:type="paragraph" w:styleId="Textocomentario">
    <w:name w:val="annotation text"/>
    <w:basedOn w:val="Normal"/>
    <w:link w:val="TextocomentarioCar"/>
    <w:uiPriority w:val="99"/>
    <w:semiHidden/>
    <w:unhideWhenUsed/>
    <w:rsid w:val="002D70C1"/>
    <w:pPr>
      <w:spacing w:line="240" w:lineRule="auto"/>
    </w:pPr>
    <w:rPr>
      <w:sz w:val="20"/>
    </w:rPr>
  </w:style>
  <w:style w:type="character" w:customStyle="1" w:styleId="TextocomentarioCar">
    <w:name w:val="Texto comentario Car"/>
    <w:link w:val="Textocomentario"/>
    <w:uiPriority w:val="99"/>
    <w:rsid w:val="006549C2"/>
    <w:rPr>
      <w:rFonts w:ascii="Arial" w:hAnsi="Arial"/>
      <w:color w:val="000000"/>
      <w:lang w:val="es-ES" w:eastAsia="es-ES"/>
    </w:rPr>
  </w:style>
  <w:style w:type="paragraph" w:styleId="Asuntodelcomentario">
    <w:name w:val="annotation subject"/>
    <w:basedOn w:val="Textocomentario"/>
    <w:next w:val="Textocomentario"/>
    <w:link w:val="AsuntodelcomentarioCar"/>
    <w:rsid w:val="006549C2"/>
    <w:rPr>
      <w:b/>
      <w:bCs/>
    </w:rPr>
  </w:style>
  <w:style w:type="character" w:customStyle="1" w:styleId="AsuntodelcomentarioCar">
    <w:name w:val="Asunto del comentario Car"/>
    <w:link w:val="Asuntodelcomentario"/>
    <w:rsid w:val="006549C2"/>
    <w:rPr>
      <w:rFonts w:ascii="Arial" w:hAnsi="Arial"/>
      <w:b/>
      <w:bCs/>
      <w:color w:val="000000"/>
      <w:lang w:val="es-ES" w:eastAsia="es-ES"/>
    </w:rPr>
  </w:style>
  <w:style w:type="paragraph" w:styleId="Textodeglobo">
    <w:name w:val="Balloon Text"/>
    <w:basedOn w:val="Normal"/>
    <w:link w:val="TextodegloboCar"/>
    <w:rsid w:val="006549C2"/>
    <w:pPr>
      <w:spacing w:line="240" w:lineRule="auto"/>
    </w:pPr>
    <w:rPr>
      <w:rFonts w:ascii="Tahoma" w:hAnsi="Tahoma"/>
      <w:sz w:val="16"/>
      <w:szCs w:val="16"/>
    </w:rPr>
  </w:style>
  <w:style w:type="character" w:customStyle="1" w:styleId="TextodegloboCar">
    <w:name w:val="Texto de globo Car"/>
    <w:link w:val="Textodeglobo"/>
    <w:rsid w:val="006549C2"/>
    <w:rPr>
      <w:rFonts w:ascii="Tahoma" w:hAnsi="Tahoma" w:cs="Tahoma"/>
      <w:color w:val="000000"/>
      <w:sz w:val="16"/>
      <w:szCs w:val="16"/>
      <w:lang w:val="es-ES" w:eastAsia="es-ES"/>
    </w:rPr>
  </w:style>
  <w:style w:type="character" w:styleId="Textoennegrita">
    <w:name w:val="Strong"/>
    <w:uiPriority w:val="22"/>
    <w:qFormat/>
    <w:rsid w:val="00654266"/>
    <w:rPr>
      <w:b/>
      <w:bCs/>
    </w:rPr>
  </w:style>
  <w:style w:type="character" w:styleId="Hipervnculovisitado">
    <w:name w:val="FollowedHyperlink"/>
    <w:rsid w:val="003C1A58"/>
    <w:rPr>
      <w:color w:val="800080"/>
      <w:u w:val="single"/>
    </w:rPr>
  </w:style>
  <w:style w:type="paragraph" w:styleId="Prrafodelista">
    <w:name w:val="List Paragraph"/>
    <w:basedOn w:val="Normal"/>
    <w:uiPriority w:val="72"/>
    <w:rsid w:val="003B68E3"/>
    <w:pPr>
      <w:ind w:left="720"/>
      <w:contextualSpacing/>
    </w:pPr>
  </w:style>
  <w:style w:type="paragraph" w:customStyle="1" w:styleId="ListParagraph1">
    <w:name w:val="List Paragraph1"/>
    <w:basedOn w:val="Normal"/>
    <w:rsid w:val="0046565A"/>
    <w:pPr>
      <w:spacing w:line="240" w:lineRule="auto"/>
      <w:ind w:left="720"/>
      <w:contextualSpacing/>
    </w:pPr>
    <w:rPr>
      <w:rFonts w:ascii="Gill Sans" w:eastAsia="SimSun" w:hAnsi="Gill Sans"/>
      <w:color w:val="auto"/>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ES" w:eastAsia="es-ES" w:bidi="es-ES"/>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Hyperlink" w:uiPriority="99"/>
    <w:lsdException w:name="Strong" w:uiPriority="22" w:qFormat="1"/>
    <w:lsdException w:name="Emphasis" w:qFormat="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D4316"/>
    <w:pPr>
      <w:spacing w:line="300" w:lineRule="exact"/>
    </w:pPr>
    <w:rPr>
      <w:rFonts w:ascii="Arial" w:hAnsi="Arial"/>
      <w:color w:val="000000"/>
      <w:sz w:val="19"/>
    </w:rPr>
  </w:style>
  <w:style w:type="paragraph" w:styleId="Ttulo1">
    <w:name w:val="heading 1"/>
    <w:basedOn w:val="Normal"/>
    <w:next w:val="Normal"/>
    <w:qFormat/>
    <w:rsid w:val="00FB1A23"/>
    <w:pPr>
      <w:keepNext/>
      <w:spacing w:before="240" w:after="60"/>
      <w:outlineLvl w:val="0"/>
    </w:pPr>
    <w:rPr>
      <w:b/>
      <w:kern w:val="32"/>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01TESTO">
    <w:name w:val="01_TESTO"/>
    <w:basedOn w:val="Normal"/>
    <w:rsid w:val="00C16525"/>
  </w:style>
  <w:style w:type="paragraph" w:customStyle="1" w:styleId="03INTESTAZIONE">
    <w:name w:val="03 INTESTAZIONE"/>
    <w:basedOn w:val="01TESTO"/>
    <w:rsid w:val="005570E2"/>
    <w:pPr>
      <w:spacing w:line="192" w:lineRule="exact"/>
    </w:pPr>
    <w:rPr>
      <w:sz w:val="16"/>
    </w:rPr>
  </w:style>
  <w:style w:type="paragraph" w:styleId="Piedepgina">
    <w:name w:val="footer"/>
    <w:basedOn w:val="Normal"/>
    <w:semiHidden/>
    <w:rsid w:val="00FB1A23"/>
    <w:pPr>
      <w:tabs>
        <w:tab w:val="center" w:pos="4819"/>
        <w:tab w:val="right" w:pos="9638"/>
      </w:tabs>
    </w:pPr>
  </w:style>
  <w:style w:type="paragraph" w:styleId="Encabezado">
    <w:name w:val="header"/>
    <w:basedOn w:val="Normal"/>
    <w:rsid w:val="005570E2"/>
    <w:pPr>
      <w:tabs>
        <w:tab w:val="center" w:pos="4819"/>
        <w:tab w:val="right" w:pos="9638"/>
      </w:tabs>
    </w:pPr>
  </w:style>
  <w:style w:type="character" w:customStyle="1" w:styleId="02TESTOBOLD">
    <w:name w:val="02_TESTO_BOLD"/>
    <w:rsid w:val="00C5169B"/>
    <w:rPr>
      <w:rFonts w:ascii="Arial" w:hAnsi="Arial"/>
      <w:b/>
      <w:color w:val="000000"/>
      <w:sz w:val="19"/>
    </w:rPr>
  </w:style>
  <w:style w:type="paragraph" w:customStyle="1" w:styleId="04FOOTER">
    <w:name w:val="04_FOOTER"/>
    <w:basedOn w:val="Normal"/>
    <w:rsid w:val="002D4316"/>
    <w:pPr>
      <w:spacing w:line="160" w:lineRule="exact"/>
    </w:pPr>
    <w:rPr>
      <w:sz w:val="15"/>
    </w:rPr>
  </w:style>
  <w:style w:type="character" w:customStyle="1" w:styleId="05FOOTERBOLD">
    <w:name w:val="05_FOOTER_BOLD"/>
    <w:rsid w:val="005570E2"/>
    <w:rPr>
      <w:rFonts w:ascii="Arial" w:hAnsi="Arial"/>
      <w:b/>
      <w:color w:val="000000"/>
      <w:w w:val="100"/>
      <w:sz w:val="15"/>
      <w:u w:val="none"/>
    </w:rPr>
  </w:style>
  <w:style w:type="character" w:styleId="Hipervnculo">
    <w:name w:val="Hyperlink"/>
    <w:uiPriority w:val="99"/>
    <w:unhideWhenUsed/>
    <w:rsid w:val="003F2CD9"/>
    <w:rPr>
      <w:color w:val="0000FF"/>
      <w:u w:val="single"/>
    </w:rPr>
  </w:style>
  <w:style w:type="paragraph" w:customStyle="1" w:styleId="03INTESTAZIONEITALIC">
    <w:name w:val="03 INTESTAZIONE ITALIC"/>
    <w:basedOn w:val="03INTESTAZIONE"/>
    <w:rsid w:val="005570E2"/>
    <w:rPr>
      <w:i/>
    </w:rPr>
  </w:style>
  <w:style w:type="paragraph" w:customStyle="1" w:styleId="03INTESTAZIONEBOLD">
    <w:name w:val="03 INTESTAZIONE BOLD"/>
    <w:basedOn w:val="03INTESTAZIONE"/>
    <w:rsid w:val="00C5169B"/>
    <w:rPr>
      <w:b/>
    </w:rPr>
  </w:style>
  <w:style w:type="character" w:customStyle="1" w:styleId="03INTESTAZIONEITALIC2">
    <w:name w:val="03 INTESTAZIONE ITALIC 2"/>
    <w:rsid w:val="00E46E7A"/>
    <w:rPr>
      <w:rFonts w:ascii="Arial" w:hAnsi="Arial"/>
      <w:i/>
      <w:sz w:val="16"/>
      <w:szCs w:val="16"/>
    </w:rPr>
  </w:style>
  <w:style w:type="table" w:styleId="Tablaconcuadrcula">
    <w:name w:val="Table Grid"/>
    <w:aliases w:val="PIEDINO"/>
    <w:basedOn w:val="Tablanormal"/>
    <w:uiPriority w:val="59"/>
    <w:rsid w:val="002D4316"/>
    <w:pPr>
      <w:spacing w:line="160" w:lineRule="exact"/>
    </w:pPr>
    <w:rPr>
      <w:rFonts w:ascii="Arial" w:hAnsi="Arial"/>
      <w:color w:val="000000"/>
      <w:sz w:val="15"/>
    </w:rPr>
    <w:tblPr>
      <w:tblCellMar>
        <w:left w:w="0" w:type="dxa"/>
        <w:right w:w="0" w:type="dxa"/>
      </w:tblCellMar>
    </w:tblPr>
    <w:tcPr>
      <w:shd w:val="clear" w:color="auto" w:fill="auto"/>
      <w:vAlign w:val="bottom"/>
    </w:tcPr>
  </w:style>
  <w:style w:type="character" w:customStyle="1" w:styleId="03INTESTAZIONEBOLD2">
    <w:name w:val="03 INTESTAZIONE BOLD 2"/>
    <w:rsid w:val="00C7201A"/>
    <w:rPr>
      <w:rFonts w:ascii="Arial" w:hAnsi="Arial"/>
      <w:b/>
      <w:sz w:val="16"/>
    </w:rPr>
  </w:style>
  <w:style w:type="character" w:customStyle="1" w:styleId="hps">
    <w:name w:val="hps"/>
    <w:basedOn w:val="Fuentedeprrafopredeter"/>
    <w:rsid w:val="00EA46C6"/>
  </w:style>
  <w:style w:type="paragraph" w:customStyle="1" w:styleId="Boilerplate">
    <w:name w:val="Boilerplate"/>
    <w:basedOn w:val="Normal"/>
    <w:uiPriority w:val="99"/>
    <w:rsid w:val="001A6607"/>
    <w:pPr>
      <w:spacing w:line="240" w:lineRule="auto"/>
    </w:pPr>
    <w:rPr>
      <w:rFonts w:eastAsia="Times"/>
      <w:i/>
      <w:color w:val="auto"/>
      <w:sz w:val="14"/>
    </w:rPr>
  </w:style>
  <w:style w:type="paragraph" w:customStyle="1" w:styleId="style2">
    <w:name w:val="style2"/>
    <w:basedOn w:val="Normal"/>
    <w:uiPriority w:val="99"/>
    <w:rsid w:val="001A6607"/>
    <w:pPr>
      <w:spacing w:before="100" w:beforeAutospacing="1" w:after="100" w:afterAutospacing="1" w:line="240" w:lineRule="auto"/>
    </w:pPr>
    <w:rPr>
      <w:rFonts w:cs="Arial"/>
      <w:sz w:val="18"/>
      <w:szCs w:val="18"/>
    </w:rPr>
  </w:style>
  <w:style w:type="character" w:styleId="Refdecomentario">
    <w:name w:val="annotation reference"/>
    <w:uiPriority w:val="99"/>
    <w:semiHidden/>
    <w:unhideWhenUsed/>
    <w:rsid w:val="002D70C1"/>
    <w:rPr>
      <w:sz w:val="16"/>
      <w:szCs w:val="16"/>
    </w:rPr>
  </w:style>
  <w:style w:type="paragraph" w:styleId="Textocomentario">
    <w:name w:val="annotation text"/>
    <w:basedOn w:val="Normal"/>
    <w:link w:val="TextocomentarioCar"/>
    <w:uiPriority w:val="99"/>
    <w:semiHidden/>
    <w:unhideWhenUsed/>
    <w:rsid w:val="002D70C1"/>
    <w:pPr>
      <w:spacing w:line="240" w:lineRule="auto"/>
    </w:pPr>
    <w:rPr>
      <w:sz w:val="20"/>
    </w:rPr>
  </w:style>
  <w:style w:type="character" w:customStyle="1" w:styleId="TextocomentarioCar">
    <w:name w:val="Texto comentario Car"/>
    <w:link w:val="Textocomentario"/>
    <w:uiPriority w:val="99"/>
    <w:rsid w:val="006549C2"/>
    <w:rPr>
      <w:rFonts w:ascii="Arial" w:hAnsi="Arial"/>
      <w:color w:val="000000"/>
      <w:lang w:val="es-ES" w:eastAsia="es-ES"/>
    </w:rPr>
  </w:style>
  <w:style w:type="paragraph" w:styleId="Asuntodelcomentario">
    <w:name w:val="annotation subject"/>
    <w:basedOn w:val="Textocomentario"/>
    <w:next w:val="Textocomentario"/>
    <w:link w:val="AsuntodelcomentarioCar"/>
    <w:rsid w:val="006549C2"/>
    <w:rPr>
      <w:b/>
      <w:bCs/>
    </w:rPr>
  </w:style>
  <w:style w:type="character" w:customStyle="1" w:styleId="AsuntodelcomentarioCar">
    <w:name w:val="Asunto del comentario Car"/>
    <w:link w:val="Asuntodelcomentario"/>
    <w:rsid w:val="006549C2"/>
    <w:rPr>
      <w:rFonts w:ascii="Arial" w:hAnsi="Arial"/>
      <w:b/>
      <w:bCs/>
      <w:color w:val="000000"/>
      <w:lang w:val="es-ES" w:eastAsia="es-ES"/>
    </w:rPr>
  </w:style>
  <w:style w:type="paragraph" w:styleId="Textodeglobo">
    <w:name w:val="Balloon Text"/>
    <w:basedOn w:val="Normal"/>
    <w:link w:val="TextodegloboCar"/>
    <w:rsid w:val="006549C2"/>
    <w:pPr>
      <w:spacing w:line="240" w:lineRule="auto"/>
    </w:pPr>
    <w:rPr>
      <w:rFonts w:ascii="Tahoma" w:hAnsi="Tahoma"/>
      <w:sz w:val="16"/>
      <w:szCs w:val="16"/>
    </w:rPr>
  </w:style>
  <w:style w:type="character" w:customStyle="1" w:styleId="TextodegloboCar">
    <w:name w:val="Texto de globo Car"/>
    <w:link w:val="Textodeglobo"/>
    <w:rsid w:val="006549C2"/>
    <w:rPr>
      <w:rFonts w:ascii="Tahoma" w:hAnsi="Tahoma" w:cs="Tahoma"/>
      <w:color w:val="000000"/>
      <w:sz w:val="16"/>
      <w:szCs w:val="16"/>
      <w:lang w:val="es-ES" w:eastAsia="es-ES"/>
    </w:rPr>
  </w:style>
  <w:style w:type="character" w:styleId="Textoennegrita">
    <w:name w:val="Strong"/>
    <w:uiPriority w:val="22"/>
    <w:qFormat/>
    <w:rsid w:val="00654266"/>
    <w:rPr>
      <w:b/>
      <w:bCs/>
    </w:rPr>
  </w:style>
  <w:style w:type="character" w:styleId="Hipervnculovisitado">
    <w:name w:val="FollowedHyperlink"/>
    <w:rsid w:val="003C1A58"/>
    <w:rPr>
      <w:color w:val="800080"/>
      <w:u w:val="single"/>
    </w:rPr>
  </w:style>
  <w:style w:type="paragraph" w:styleId="Prrafodelista">
    <w:name w:val="List Paragraph"/>
    <w:basedOn w:val="Normal"/>
    <w:uiPriority w:val="72"/>
    <w:rsid w:val="003B68E3"/>
    <w:pPr>
      <w:ind w:left="720"/>
      <w:contextualSpacing/>
    </w:pPr>
  </w:style>
  <w:style w:type="paragraph" w:customStyle="1" w:styleId="ListParagraph1">
    <w:name w:val="List Paragraph1"/>
    <w:basedOn w:val="Normal"/>
    <w:rsid w:val="0046565A"/>
    <w:pPr>
      <w:spacing w:line="240" w:lineRule="auto"/>
      <w:ind w:left="720"/>
      <w:contextualSpacing/>
    </w:pPr>
    <w:rPr>
      <w:rFonts w:ascii="Gill Sans" w:eastAsia="SimSun" w:hAnsi="Gill Sans"/>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64848">
      <w:bodyDiv w:val="1"/>
      <w:marLeft w:val="0"/>
      <w:marRight w:val="0"/>
      <w:marTop w:val="0"/>
      <w:marBottom w:val="0"/>
      <w:divBdr>
        <w:top w:val="none" w:sz="0" w:space="0" w:color="auto"/>
        <w:left w:val="none" w:sz="0" w:space="0" w:color="auto"/>
        <w:bottom w:val="none" w:sz="0" w:space="0" w:color="auto"/>
        <w:right w:val="none" w:sz="0" w:space="0" w:color="auto"/>
      </w:divBdr>
    </w:div>
    <w:div w:id="328561048">
      <w:bodyDiv w:val="1"/>
      <w:marLeft w:val="0"/>
      <w:marRight w:val="0"/>
      <w:marTop w:val="0"/>
      <w:marBottom w:val="0"/>
      <w:divBdr>
        <w:top w:val="none" w:sz="0" w:space="0" w:color="auto"/>
        <w:left w:val="none" w:sz="0" w:space="0" w:color="auto"/>
        <w:bottom w:val="none" w:sz="0" w:space="0" w:color="auto"/>
        <w:right w:val="none" w:sz="0" w:space="0" w:color="auto"/>
      </w:divBdr>
    </w:div>
    <w:div w:id="543448060">
      <w:bodyDiv w:val="1"/>
      <w:marLeft w:val="0"/>
      <w:marRight w:val="0"/>
      <w:marTop w:val="0"/>
      <w:marBottom w:val="0"/>
      <w:divBdr>
        <w:top w:val="none" w:sz="0" w:space="0" w:color="auto"/>
        <w:left w:val="none" w:sz="0" w:space="0" w:color="auto"/>
        <w:bottom w:val="none" w:sz="0" w:space="0" w:color="auto"/>
        <w:right w:val="none" w:sz="0" w:space="0" w:color="auto"/>
      </w:divBdr>
    </w:div>
    <w:div w:id="1180007741">
      <w:bodyDiv w:val="1"/>
      <w:marLeft w:val="0"/>
      <w:marRight w:val="0"/>
      <w:marTop w:val="0"/>
      <w:marBottom w:val="0"/>
      <w:divBdr>
        <w:top w:val="none" w:sz="0" w:space="0" w:color="auto"/>
        <w:left w:val="none" w:sz="0" w:space="0" w:color="auto"/>
        <w:bottom w:val="none" w:sz="0" w:space="0" w:color="auto"/>
        <w:right w:val="none" w:sz="0" w:space="0" w:color="auto"/>
      </w:divBdr>
    </w:div>
    <w:div w:id="1264191670">
      <w:bodyDiv w:val="1"/>
      <w:marLeft w:val="0"/>
      <w:marRight w:val="0"/>
      <w:marTop w:val="0"/>
      <w:marBottom w:val="0"/>
      <w:divBdr>
        <w:top w:val="none" w:sz="0" w:space="0" w:color="auto"/>
        <w:left w:val="none" w:sz="0" w:space="0" w:color="auto"/>
        <w:bottom w:val="none" w:sz="0" w:space="0" w:color="auto"/>
        <w:right w:val="none" w:sz="0" w:space="0" w:color="auto"/>
      </w:divBdr>
    </w:div>
    <w:div w:id="1371497141">
      <w:bodyDiv w:val="1"/>
      <w:marLeft w:val="0"/>
      <w:marRight w:val="0"/>
      <w:marTop w:val="0"/>
      <w:marBottom w:val="0"/>
      <w:divBdr>
        <w:top w:val="none" w:sz="0" w:space="0" w:color="auto"/>
        <w:left w:val="none" w:sz="0" w:space="0" w:color="auto"/>
        <w:bottom w:val="none" w:sz="0" w:space="0" w:color="auto"/>
        <w:right w:val="none" w:sz="0" w:space="0" w:color="auto"/>
      </w:divBdr>
    </w:div>
    <w:div w:id="1456215888">
      <w:bodyDiv w:val="1"/>
      <w:marLeft w:val="0"/>
      <w:marRight w:val="0"/>
      <w:marTop w:val="0"/>
      <w:marBottom w:val="0"/>
      <w:divBdr>
        <w:top w:val="none" w:sz="0" w:space="0" w:color="auto"/>
        <w:left w:val="none" w:sz="0" w:space="0" w:color="auto"/>
        <w:bottom w:val="none" w:sz="0" w:space="0" w:color="auto"/>
        <w:right w:val="none" w:sz="0" w:space="0" w:color="auto"/>
      </w:divBdr>
    </w:div>
    <w:div w:id="1506626757">
      <w:bodyDiv w:val="1"/>
      <w:marLeft w:val="0"/>
      <w:marRight w:val="0"/>
      <w:marTop w:val="0"/>
      <w:marBottom w:val="0"/>
      <w:divBdr>
        <w:top w:val="none" w:sz="0" w:space="0" w:color="auto"/>
        <w:left w:val="none" w:sz="0" w:space="0" w:color="auto"/>
        <w:bottom w:val="none" w:sz="0" w:space="0" w:color="auto"/>
        <w:right w:val="none" w:sz="0" w:space="0" w:color="auto"/>
      </w:divBdr>
    </w:div>
    <w:div w:id="1706905354">
      <w:bodyDiv w:val="1"/>
      <w:marLeft w:val="0"/>
      <w:marRight w:val="0"/>
      <w:marTop w:val="0"/>
      <w:marBottom w:val="0"/>
      <w:divBdr>
        <w:top w:val="none" w:sz="0" w:space="0" w:color="auto"/>
        <w:left w:val="none" w:sz="0" w:space="0" w:color="auto"/>
        <w:bottom w:val="none" w:sz="0" w:space="0" w:color="auto"/>
        <w:right w:val="none" w:sz="0" w:space="0" w:color="auto"/>
      </w:divBdr>
    </w:div>
    <w:div w:id="18839037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facebook.com/caseconstructionequipment.espana" TargetMode="External"/><Relationship Id="rId18" Type="http://schemas.openxmlformats.org/officeDocument/2006/relationships/image" Target="media/image3.png"/><Relationship Id="rId26"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hyperlink" Target="https://www.facebook.com/caseconstructionequipment.espana" TargetMode="External"/><Relationship Id="rId7" Type="http://schemas.openxmlformats.org/officeDocument/2006/relationships/webSettings" Target="webSettings.xml"/><Relationship Id="rId12" Type="http://schemas.openxmlformats.org/officeDocument/2006/relationships/hyperlink" Target="https://www.facebook.com/caseconstructionequipment" TargetMode="External"/><Relationship Id="rId17" Type="http://schemas.openxmlformats.org/officeDocument/2006/relationships/hyperlink" Target="https://www.youtube.com/user/Caseatwor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image" Target="media/image4.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casecetools.com/press-kit" TargetMode="External"/><Relationship Id="rId24" Type="http://schemas.openxmlformats.org/officeDocument/2006/relationships/hyperlink" Target="mailto:nmarti@alarconyharris.com" TargetMode="External"/><Relationship Id="rId5" Type="http://schemas.microsoft.com/office/2007/relationships/stylesWithEffects" Target="stylesWithEffects.xml"/><Relationship Id="rId15" Type="http://schemas.openxmlformats.org/officeDocument/2006/relationships/hyperlink" Target="https://twitter.com/#!/casece" TargetMode="External"/><Relationship Id="rId23" Type="http://schemas.openxmlformats.org/officeDocument/2006/relationships/hyperlink" Target="http://www.cnhindustrial.com" TargetMode="External"/><Relationship Id="rId28" Type="http://schemas.openxmlformats.org/officeDocument/2006/relationships/footer" Target="footer2.xml"/><Relationship Id="rId10" Type="http://schemas.openxmlformats.org/officeDocument/2006/relationships/hyperlink" Target="mailto:bill@pkamar.com" TargetMode="External"/><Relationship Id="rId19" Type="http://schemas.openxmlformats.org/officeDocument/2006/relationships/hyperlink" Target="https://www.linkedin.com/company/case-construction-equipment"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1.png"/><Relationship Id="rId22" Type="http://schemas.openxmlformats.org/officeDocument/2006/relationships/hyperlink" Target="http://www.casece.com" TargetMode="External"/><Relationship Id="rId27" Type="http://schemas.openxmlformats.org/officeDocument/2006/relationships/header" Target="header2.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7.png"/><Relationship Id="rId1"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uria\AppData\Local\Microsoft\Windows\Temporary%20Internet%20Files\Content.Outlook\3POTRISZ\Case_PressReleas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isl xmlns:xsi="http://www.w3.org/2001/XMLSchema-instance" xmlns:xsd="http://www.w3.org/2001/XMLSchema" xmlns="http://www.boldonjames.com/2008/01/sie/internal/label" sislVersion="0" policy="18fbfd49-c8e6-4618-a77f-5ef25245836c">
  <element uid="4ecbf47d-2ec6-497d-85fc-f65b66e62fe7" value=""/>
</sisl>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FBD01C-3956-468E-89A6-EACBC26C0026}">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C220418A-D09D-4286-A8D6-1DFFFF9926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Case_PressRelease</Template>
  <TotalTime>4</TotalTime>
  <Pages>4</Pages>
  <Words>1435</Words>
  <Characters>7893</Characters>
  <Application>Microsoft Office Word</Application>
  <DocSecurity>0</DocSecurity>
  <Lines>65</Lines>
  <Paragraphs>18</Paragraphs>
  <ScaleCrop>false</ScaleCrop>
  <HeadingPairs>
    <vt:vector size="6" baseType="variant">
      <vt:variant>
        <vt:lpstr>Título</vt:lpstr>
      </vt:variant>
      <vt:variant>
        <vt:i4>1</vt:i4>
      </vt:variant>
      <vt:variant>
        <vt:lpstr>Titolo</vt:lpstr>
      </vt:variant>
      <vt:variant>
        <vt:i4>1</vt:i4>
      </vt:variant>
      <vt:variant>
        <vt:lpstr>Title</vt:lpstr>
      </vt:variant>
      <vt:variant>
        <vt:i4>1</vt:i4>
      </vt:variant>
    </vt:vector>
  </HeadingPairs>
  <TitlesOfParts>
    <vt:vector size="3" baseType="lpstr">
      <vt:lpstr>CNH INDUSTRIAL</vt:lpstr>
      <vt:lpstr>CNH INDUSTRIAL</vt:lpstr>
      <vt:lpstr>CNH INDUSTRIAL</vt:lpstr>
    </vt:vector>
  </TitlesOfParts>
  <Company>CNH Industrial</Company>
  <LinksUpToDate>false</LinksUpToDate>
  <CharactersWithSpaces>9310</CharactersWithSpaces>
  <SharedDoc>false</SharedDoc>
  <HyperlinkBase/>
  <HLinks>
    <vt:vector size="24" baseType="variant">
      <vt:variant>
        <vt:i4>524318</vt:i4>
      </vt:variant>
      <vt:variant>
        <vt:i4>9</vt:i4>
      </vt:variant>
      <vt:variant>
        <vt:i4>0</vt:i4>
      </vt:variant>
      <vt:variant>
        <vt:i4>5</vt:i4>
      </vt:variant>
      <vt:variant>
        <vt:lpwstr>mailto:lynn@tlcpr.co.uk</vt:lpwstr>
      </vt:variant>
      <vt:variant>
        <vt:lpwstr/>
      </vt:variant>
      <vt:variant>
        <vt:i4>4456466</vt:i4>
      </vt:variant>
      <vt:variant>
        <vt:i4>6</vt:i4>
      </vt:variant>
      <vt:variant>
        <vt:i4>0</vt:i4>
      </vt:variant>
      <vt:variant>
        <vt:i4>5</vt:i4>
      </vt:variant>
      <vt:variant>
        <vt:lpwstr>http://www.cnhindustrial.com</vt:lpwstr>
      </vt:variant>
      <vt:variant>
        <vt:lpwstr/>
      </vt:variant>
      <vt:variant>
        <vt:i4>1638463</vt:i4>
      </vt:variant>
      <vt:variant>
        <vt:i4>3</vt:i4>
      </vt:variant>
      <vt:variant>
        <vt:i4>0</vt:i4>
      </vt:variant>
      <vt:variant>
        <vt:i4>5</vt:i4>
      </vt:variant>
      <vt:variant>
        <vt:lpwstr>http://www.CASEce.com</vt:lpwstr>
      </vt:variant>
      <vt:variant>
        <vt:lpwstr/>
      </vt:variant>
      <vt:variant>
        <vt:i4>4653081</vt:i4>
      </vt:variant>
      <vt:variant>
        <vt:i4>0</vt:i4>
      </vt:variant>
      <vt:variant>
        <vt:i4>0</vt:i4>
      </vt:variant>
      <vt:variant>
        <vt:i4>5</vt:i4>
      </vt:variant>
      <vt:variant>
        <vt:lpwstr>http://www.casecetools.com/press-kit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CNH INDUSTRIAL</dc:title>
  <dc:creator>Silvia Ortiz</dc:creator>
  <cp:lastModifiedBy>Usuario</cp:lastModifiedBy>
  <cp:revision>5</cp:revision>
  <cp:lastPrinted>2013-10-09T08:28:00Z</cp:lastPrinted>
  <dcterms:created xsi:type="dcterms:W3CDTF">2017-01-11T08:38:00Z</dcterms:created>
  <dcterms:modified xsi:type="dcterms:W3CDTF">2017-01-23T08:04:00Z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b5a6d231-7fe4-4a5c-b1f6-065e974457f4</vt:lpwstr>
  </property>
  <property fmtid="{D5CDD505-2E9C-101B-9397-08002B2CF9AE}" pid="3" name="bjSaver">
    <vt:lpwstr>nx+VKYZhvL9oexXtCiizaQEsy6LZvcrL</vt:lpwstr>
  </property>
  <property fmtid="{D5CDD505-2E9C-101B-9397-08002B2CF9AE}" pid="4" name="bjDocumentLabelXML">
    <vt:lpwstr>&lt;?xml version="1.0" encoding="us-ascii"?&gt;&lt;sisl xmlns:xsi="http://www.w3.org/2001/XMLSchema-instance" xmlns:xsd="http://www.w3.org/2001/XMLSchema" sislVersion="0" policy="18fbfd49-c8e6-4618-a77f-5ef25245836c" xmlns="http://www.boldonjames.com/2008/01/sie/i</vt:lpwstr>
  </property>
  <property fmtid="{D5CDD505-2E9C-101B-9397-08002B2CF9AE}" pid="5" name="bjDocumentLabelXML-0">
    <vt:lpwstr>nternal/label"&gt;&lt;element uid="4ecbf47d-2ec6-497d-85fc-f65b66e62fe7" value="" /&gt;&lt;/sisl&gt;</vt:lpwstr>
  </property>
  <property fmtid="{D5CDD505-2E9C-101B-9397-08002B2CF9AE}" pid="6" name="bjDocumentSecurityLabel">
    <vt:lpwstr>CNH Industrial: GENERAL BUSINESS [Minor prejudice to Company from unauthorised disclosure.]</vt:lpwstr>
  </property>
  <property fmtid="{D5CDD505-2E9C-101B-9397-08002B2CF9AE}" pid="7" name="CNH-LabelledBy:">
    <vt:lpwstr>NS026,11/01/2017 9:25:56,GENERAL BUSINESS</vt:lpwstr>
  </property>
  <property fmtid="{D5CDD505-2E9C-101B-9397-08002B2CF9AE}" pid="8" name="CNH-Classification">
    <vt:lpwstr>[GENERAL BUSINESS]</vt:lpwstr>
  </property>
</Properties>
</file>