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E01CA4E" w14:textId="3551A4A1" w:rsidR="004428B5" w:rsidRPr="0042644B" w:rsidRDefault="004428B5" w:rsidP="00A57F14">
      <w:pPr>
        <w:spacing w:line="276" w:lineRule="auto"/>
        <w:rPr>
          <w:rFonts w:ascii="Gill Sans MT" w:hAnsi="Gill Sans MT" w:cstheme="minorHAnsi"/>
          <w:b/>
          <w:sz w:val="28"/>
          <w:szCs w:val="28"/>
        </w:rPr>
      </w:pPr>
      <w:bookmarkStart w:id="0" w:name="_Hlk527712498"/>
      <w:bookmarkStart w:id="1" w:name="_Hlk510438457"/>
      <w:r w:rsidRPr="0042644B">
        <w:rPr>
          <w:rFonts w:ascii="Gill Sans MT" w:hAnsi="Gill Sans MT" w:cstheme="minorHAnsi"/>
          <w:b/>
          <w:sz w:val="28"/>
          <w:szCs w:val="28"/>
        </w:rPr>
        <w:t>CASE lance la plate-forme télématique SiteWatch dotée d'un nouveau design, d'un nouveau tableau de bord et offrant une navigation simpl</w:t>
      </w:r>
      <w:r w:rsidR="002F5CA5" w:rsidRPr="0042644B">
        <w:rPr>
          <w:rFonts w:ascii="Gill Sans MT" w:hAnsi="Gill Sans MT" w:cstheme="minorHAnsi"/>
          <w:b/>
          <w:sz w:val="28"/>
          <w:szCs w:val="28"/>
        </w:rPr>
        <w:t>e</w:t>
      </w:r>
    </w:p>
    <w:p w14:paraId="7D322754" w14:textId="77777777" w:rsidR="00A57F14" w:rsidRDefault="00A57F14" w:rsidP="00494FE6">
      <w:pPr>
        <w:widowControl w:val="0"/>
        <w:tabs>
          <w:tab w:val="center" w:pos="4418"/>
        </w:tabs>
        <w:autoSpaceDE w:val="0"/>
        <w:autoSpaceDN w:val="0"/>
        <w:adjustRightInd w:val="0"/>
        <w:spacing w:after="240" w:line="276" w:lineRule="auto"/>
        <w:jc w:val="both"/>
        <w:outlineLvl w:val="0"/>
        <w:rPr>
          <w:rFonts w:ascii="Gill Sans MT" w:hAnsi="Gill Sans MT" w:cstheme="minorHAnsi"/>
          <w:i/>
          <w:szCs w:val="19"/>
        </w:rPr>
      </w:pPr>
    </w:p>
    <w:p w14:paraId="5D3F3EF1" w14:textId="552B6798" w:rsidR="002A05B1" w:rsidRPr="0042644B" w:rsidRDefault="002A05B1" w:rsidP="00494FE6">
      <w:pPr>
        <w:widowControl w:val="0"/>
        <w:tabs>
          <w:tab w:val="center" w:pos="4418"/>
        </w:tabs>
        <w:autoSpaceDE w:val="0"/>
        <w:autoSpaceDN w:val="0"/>
        <w:adjustRightInd w:val="0"/>
        <w:spacing w:after="240" w:line="276" w:lineRule="auto"/>
        <w:jc w:val="both"/>
        <w:outlineLvl w:val="0"/>
        <w:rPr>
          <w:rFonts w:ascii="Gill Sans MT" w:hAnsi="Gill Sans MT" w:cstheme="minorHAnsi"/>
          <w:i/>
          <w:szCs w:val="19"/>
        </w:rPr>
      </w:pPr>
      <w:r w:rsidRPr="0042644B">
        <w:rPr>
          <w:rFonts w:ascii="Gill Sans MT" w:hAnsi="Gill Sans MT" w:cstheme="minorHAnsi"/>
          <w:i/>
          <w:szCs w:val="19"/>
        </w:rPr>
        <w:t xml:space="preserve">Turin, Italie, </w:t>
      </w:r>
      <w:r w:rsidR="00A57F14">
        <w:rPr>
          <w:rFonts w:ascii="Gill Sans MT" w:hAnsi="Gill Sans MT" w:cstheme="minorHAnsi"/>
          <w:i/>
          <w:szCs w:val="19"/>
        </w:rPr>
        <w:t>22</w:t>
      </w:r>
      <w:r w:rsidRPr="0042644B">
        <w:rPr>
          <w:rFonts w:ascii="Gill Sans MT" w:hAnsi="Gill Sans MT" w:cstheme="minorHAnsi"/>
          <w:i/>
          <w:szCs w:val="19"/>
        </w:rPr>
        <w:t xml:space="preserve"> juillet 2020</w:t>
      </w:r>
      <w:r w:rsidRPr="0042644B">
        <w:rPr>
          <w:rFonts w:ascii="Gill Sans MT" w:hAnsi="Gill Sans MT" w:cstheme="minorHAnsi"/>
          <w:i/>
          <w:szCs w:val="19"/>
        </w:rPr>
        <w:tab/>
      </w:r>
    </w:p>
    <w:p w14:paraId="5E5E9B23" w14:textId="1260F59B" w:rsidR="002A05B1" w:rsidRPr="0042644B" w:rsidRDefault="002A05B1" w:rsidP="00494FE6">
      <w:pPr>
        <w:widowControl w:val="0"/>
        <w:autoSpaceDE w:val="0"/>
        <w:autoSpaceDN w:val="0"/>
        <w:adjustRightInd w:val="0"/>
        <w:spacing w:after="240" w:line="276" w:lineRule="auto"/>
        <w:jc w:val="both"/>
        <w:rPr>
          <w:rFonts w:ascii="Gill Sans MT" w:hAnsi="Gill Sans MT" w:cstheme="minorHAnsi"/>
          <w:szCs w:val="19"/>
        </w:rPr>
      </w:pPr>
      <w:r w:rsidRPr="0042644B">
        <w:rPr>
          <w:rFonts w:ascii="Gill Sans MT" w:hAnsi="Gill Sans MT" w:cstheme="minorHAnsi"/>
        </w:rPr>
        <w:t xml:space="preserve">CASE Construction Equipment lance la nouvelle génération de sa </w:t>
      </w:r>
      <w:r w:rsidR="00365239" w:rsidRPr="0042644B">
        <w:rPr>
          <w:rFonts w:ascii="Gill Sans MT" w:hAnsi="Gill Sans MT" w:cstheme="minorHAnsi"/>
        </w:rPr>
        <w:t>plate-forme</w:t>
      </w:r>
      <w:r w:rsidRPr="0042644B">
        <w:rPr>
          <w:rFonts w:ascii="Gill Sans MT" w:hAnsi="Gill Sans MT" w:cstheme="minorHAnsi"/>
        </w:rPr>
        <w:t xml:space="preserve"> télématique SiteWatch dotée d'un tout nouveau tableau de bord, d'une navigation plus intuitive et de nouvelles sections d'aperçu qui soulignent les informations essentielles sans que l'utilisateur ait à faire de longues recherches. </w:t>
      </w:r>
    </w:p>
    <w:p w14:paraId="6E7263A8" w14:textId="1C6BC2AD" w:rsidR="002A05B1" w:rsidRPr="0042644B" w:rsidRDefault="002A05B1" w:rsidP="00494FE6">
      <w:pPr>
        <w:widowControl w:val="0"/>
        <w:autoSpaceDE w:val="0"/>
        <w:autoSpaceDN w:val="0"/>
        <w:adjustRightInd w:val="0"/>
        <w:spacing w:after="240" w:line="276" w:lineRule="auto"/>
        <w:jc w:val="both"/>
        <w:rPr>
          <w:rFonts w:ascii="Gill Sans MT" w:hAnsi="Gill Sans MT" w:cstheme="minorHAnsi"/>
          <w:szCs w:val="19"/>
        </w:rPr>
      </w:pPr>
      <w:r w:rsidRPr="0042644B">
        <w:rPr>
          <w:rFonts w:ascii="Gill Sans MT" w:hAnsi="Gill Sans MT" w:cstheme="minorHAnsi"/>
        </w:rPr>
        <w:t>CASE SiteWatch est une option disponible à la commande auprès de l'usine pour tous les équipements CASE. Pour le marché des pièces détachées, SiteWatch est disponible sous forme rétroactive avec un plan d'abonnement de 1 à 5 ans.</w:t>
      </w:r>
    </w:p>
    <w:p w14:paraId="35660AFC" w14:textId="1EF3873B" w:rsidR="002A05B1" w:rsidRPr="0042644B" w:rsidRDefault="002A05B1" w:rsidP="00494FE6">
      <w:pPr>
        <w:widowControl w:val="0"/>
        <w:autoSpaceDE w:val="0"/>
        <w:autoSpaceDN w:val="0"/>
        <w:adjustRightInd w:val="0"/>
        <w:spacing w:after="240" w:line="276" w:lineRule="auto"/>
        <w:jc w:val="both"/>
        <w:rPr>
          <w:rFonts w:ascii="Gill Sans MT" w:hAnsi="Gill Sans MT" w:cstheme="minorHAnsi"/>
          <w:szCs w:val="19"/>
        </w:rPr>
      </w:pPr>
      <w:r w:rsidRPr="0042644B">
        <w:rPr>
          <w:rFonts w:ascii="Gill Sans MT" w:hAnsi="Gill Sans MT" w:cstheme="minorHAnsi"/>
        </w:rPr>
        <w:t>SiteWatch est conforme à la norme télématique 2.0 de l'Association of Equipment Management Professionals (AEMP), ce qui garantit sa compatibilité avec les flottes mixtes.</w:t>
      </w:r>
      <w:r w:rsidR="009A2413" w:rsidRPr="0042644B">
        <w:rPr>
          <w:rFonts w:ascii="Gill Sans MT" w:hAnsi="Gill Sans MT" w:cstheme="minorHAnsi"/>
        </w:rPr>
        <w:t xml:space="preserve"> </w:t>
      </w:r>
      <w:r w:rsidRPr="0042644B">
        <w:rPr>
          <w:rFonts w:ascii="Gill Sans MT" w:hAnsi="Gill Sans MT" w:cstheme="minorHAnsi"/>
        </w:rPr>
        <w:t xml:space="preserve"> </w:t>
      </w:r>
    </w:p>
    <w:p w14:paraId="26C02F34" w14:textId="511C940A" w:rsidR="002A05B1" w:rsidRPr="0042644B" w:rsidRDefault="002A05B1" w:rsidP="002F5CA5">
      <w:pPr>
        <w:widowControl w:val="0"/>
        <w:autoSpaceDE w:val="0"/>
        <w:autoSpaceDN w:val="0"/>
        <w:adjustRightInd w:val="0"/>
        <w:spacing w:after="240" w:line="276" w:lineRule="auto"/>
        <w:jc w:val="both"/>
        <w:rPr>
          <w:rFonts w:ascii="Gill Sans MT" w:hAnsi="Gill Sans MT" w:cstheme="minorHAnsi"/>
          <w:szCs w:val="19"/>
        </w:rPr>
      </w:pPr>
      <w:r w:rsidRPr="0042644B">
        <w:rPr>
          <w:rFonts w:ascii="Gill Sans MT" w:hAnsi="Gill Sans MT" w:cstheme="minorHAnsi"/>
        </w:rPr>
        <w:t xml:space="preserve"> </w:t>
      </w:r>
      <w:r w:rsidR="00365239" w:rsidRPr="0042644B">
        <w:rPr>
          <w:rFonts w:ascii="Gill Sans MT" w:hAnsi="Gill Sans MT" w:cstheme="minorHAnsi"/>
        </w:rPr>
        <w:t>«</w:t>
      </w:r>
      <w:r w:rsidR="00365239" w:rsidRPr="0042644B">
        <w:rPr>
          <w:rFonts w:ascii="Arial" w:hAnsi="Arial" w:cs="Arial"/>
        </w:rPr>
        <w:t> </w:t>
      </w:r>
      <w:r w:rsidRPr="0042644B">
        <w:rPr>
          <w:rFonts w:ascii="Gill Sans MT" w:hAnsi="Gill Sans MT" w:cstheme="minorHAnsi"/>
          <w:i/>
        </w:rPr>
        <w:t xml:space="preserve">La nouvelle </w:t>
      </w:r>
      <w:r w:rsidR="00365239" w:rsidRPr="0042644B">
        <w:rPr>
          <w:rFonts w:ascii="Gill Sans MT" w:hAnsi="Gill Sans MT" w:cstheme="minorHAnsi"/>
          <w:i/>
        </w:rPr>
        <w:t>plate-forme</w:t>
      </w:r>
      <w:r w:rsidRPr="0042644B">
        <w:rPr>
          <w:rFonts w:ascii="Gill Sans MT" w:hAnsi="Gill Sans MT" w:cstheme="minorHAnsi"/>
          <w:i/>
        </w:rPr>
        <w:t xml:space="preserve"> télématique CASE </w:t>
      </w:r>
      <w:proofErr w:type="spellStart"/>
      <w:r w:rsidRPr="0042644B">
        <w:rPr>
          <w:rFonts w:ascii="Gill Sans MT" w:hAnsi="Gill Sans MT" w:cstheme="minorHAnsi"/>
          <w:i/>
        </w:rPr>
        <w:t>SiteWatch</w:t>
      </w:r>
      <w:proofErr w:type="spellEnd"/>
      <w:r w:rsidRPr="0042644B">
        <w:rPr>
          <w:rFonts w:ascii="Gill Sans MT" w:hAnsi="Gill Sans MT" w:cstheme="minorHAnsi"/>
          <w:i/>
        </w:rPr>
        <w:t xml:space="preserve"> met à la disposition des utilisateurs un niveau élevé de données critiques sur un tableau de bord très clair et intuitif,  que vous soyez à votre bureau ou sur votre tablette sur le terrain</w:t>
      </w:r>
      <w:r w:rsidR="00365239" w:rsidRPr="0042644B">
        <w:rPr>
          <w:rFonts w:ascii="Arial" w:hAnsi="Arial" w:cs="Arial"/>
          <w:i/>
        </w:rPr>
        <w:t> </w:t>
      </w:r>
      <w:r w:rsidR="00365239" w:rsidRPr="0042644B">
        <w:rPr>
          <w:rFonts w:ascii="Gill Sans MT" w:hAnsi="Gill Sans MT" w:cstheme="minorHAnsi"/>
        </w:rPr>
        <w:t>»</w:t>
      </w:r>
      <w:r w:rsidR="002F5CA5" w:rsidRPr="0042644B">
        <w:rPr>
          <w:rFonts w:ascii="Gill Sans MT" w:hAnsi="Gill Sans MT" w:cstheme="minorHAnsi"/>
        </w:rPr>
        <w:t>, explique Marnix </w:t>
      </w:r>
      <w:proofErr w:type="spellStart"/>
      <w:r w:rsidR="002F5CA5" w:rsidRPr="0042644B">
        <w:rPr>
          <w:rFonts w:ascii="Gill Sans MT" w:hAnsi="Gill Sans MT" w:cstheme="minorHAnsi"/>
        </w:rPr>
        <w:t>Korpershoek</w:t>
      </w:r>
      <w:proofErr w:type="spellEnd"/>
      <w:r w:rsidR="002F5CA5" w:rsidRPr="0042644B">
        <w:rPr>
          <w:rFonts w:ascii="Gill Sans MT" w:hAnsi="Gill Sans MT" w:cstheme="minorHAnsi"/>
        </w:rPr>
        <w:t>, Responsable Europe des solutions de précision numérique et de la télématique, CNH Industrial.</w:t>
      </w:r>
      <w:r w:rsidRPr="0042644B">
        <w:rPr>
          <w:rFonts w:ascii="Gill Sans MT" w:hAnsi="Gill Sans MT" w:cstheme="minorHAnsi"/>
        </w:rPr>
        <w:t xml:space="preserve"> </w:t>
      </w:r>
    </w:p>
    <w:p w14:paraId="7A0DF9BA" w14:textId="43140603" w:rsidR="002F5CA5" w:rsidRPr="0042644B" w:rsidRDefault="002A05B1" w:rsidP="002F5CA5">
      <w:pPr>
        <w:widowControl w:val="0"/>
        <w:autoSpaceDE w:val="0"/>
        <w:autoSpaceDN w:val="0"/>
        <w:adjustRightInd w:val="0"/>
        <w:spacing w:after="240" w:line="276" w:lineRule="auto"/>
        <w:jc w:val="both"/>
        <w:rPr>
          <w:rFonts w:ascii="Gill Sans MT" w:hAnsi="Gill Sans MT" w:cstheme="minorHAnsi"/>
        </w:rPr>
      </w:pPr>
      <w:r w:rsidRPr="0042644B">
        <w:rPr>
          <w:rFonts w:ascii="Gill Sans MT" w:hAnsi="Gill Sans MT" w:cstheme="minorHAnsi"/>
        </w:rPr>
        <w:t xml:space="preserve">Le nouveau tableau de bord dispose d'un menu horizontal facile à lire en haut de l'écran, au-dessus de cinq widgets qui se concentrent sur les informations opérationnelles de base telles qu'un résumé de l'équipement, la recherche d'équipement, les rapports sur le niveau de carburant et l'état des alarmes. </w:t>
      </w:r>
      <w:r w:rsidR="002F5CA5" w:rsidRPr="0042644B">
        <w:rPr>
          <w:rFonts w:ascii="Gill Sans MT" w:hAnsi="Gill Sans MT" w:cstheme="minorHAnsi"/>
        </w:rPr>
        <w:t>Un menu déroulant facile à utiliser fournit en quelques clics des rapports avec un aperçu de l’état de la flotte et de la maintenance. Les alertes pour la barrière géographique, le couvre-feu et les codes d'erreur sont également immédiatement visibles dans le tableau de bord.</w:t>
      </w:r>
    </w:p>
    <w:p w14:paraId="63A924BC" w14:textId="23F77B90" w:rsidR="002A05B1" w:rsidRPr="0042644B" w:rsidRDefault="002A05B1">
      <w:pPr>
        <w:widowControl w:val="0"/>
        <w:autoSpaceDE w:val="0"/>
        <w:autoSpaceDN w:val="0"/>
        <w:adjustRightInd w:val="0"/>
        <w:spacing w:after="240" w:line="276" w:lineRule="auto"/>
        <w:jc w:val="both"/>
        <w:rPr>
          <w:rFonts w:ascii="Gill Sans MT" w:hAnsi="Gill Sans MT" w:cstheme="minorHAnsi"/>
          <w:szCs w:val="19"/>
        </w:rPr>
      </w:pPr>
      <w:r w:rsidRPr="0042644B">
        <w:rPr>
          <w:rFonts w:ascii="Gill Sans MT" w:hAnsi="Gill Sans MT" w:cstheme="minorHAnsi"/>
        </w:rPr>
        <w:t xml:space="preserve">La télématique de </w:t>
      </w:r>
      <w:proofErr w:type="spellStart"/>
      <w:r w:rsidRPr="0042644B">
        <w:rPr>
          <w:rFonts w:ascii="Gill Sans MT" w:hAnsi="Gill Sans MT" w:cstheme="minorHAnsi"/>
        </w:rPr>
        <w:t>SiteWatch</w:t>
      </w:r>
      <w:proofErr w:type="spellEnd"/>
      <w:r w:rsidRPr="0042644B">
        <w:rPr>
          <w:rFonts w:ascii="Gill Sans MT" w:hAnsi="Gill Sans MT" w:cstheme="minorHAnsi"/>
        </w:rPr>
        <w:t xml:space="preserve"> contribue à améliorer l'efficacité des flottes de toutes tailles de plusieurs façons, y compris</w:t>
      </w:r>
      <w:r w:rsidR="00365239" w:rsidRPr="0042644B">
        <w:rPr>
          <w:rFonts w:ascii="Gill Sans MT" w:hAnsi="Gill Sans MT" w:cstheme="minorHAnsi"/>
        </w:rPr>
        <w:t> </w:t>
      </w:r>
      <w:r w:rsidRPr="0042644B">
        <w:rPr>
          <w:rFonts w:ascii="Gill Sans MT" w:hAnsi="Gill Sans MT" w:cstheme="minorHAnsi"/>
        </w:rPr>
        <w:t>:</w:t>
      </w:r>
    </w:p>
    <w:p w14:paraId="6AF32BD1" w14:textId="45B4B024" w:rsidR="002A05B1" w:rsidRPr="0042644B" w:rsidRDefault="002A05B1" w:rsidP="004A719C">
      <w:pPr>
        <w:pStyle w:val="ListParagraph"/>
        <w:widowControl w:val="0"/>
        <w:numPr>
          <w:ilvl w:val="0"/>
          <w:numId w:val="1"/>
        </w:numPr>
        <w:autoSpaceDE w:val="0"/>
        <w:autoSpaceDN w:val="0"/>
        <w:adjustRightInd w:val="0"/>
        <w:spacing w:after="240" w:line="276" w:lineRule="auto"/>
        <w:jc w:val="both"/>
        <w:rPr>
          <w:rFonts w:ascii="Gill Sans MT" w:hAnsi="Gill Sans MT" w:cstheme="minorHAnsi"/>
          <w:b/>
          <w:bCs/>
          <w:sz w:val="19"/>
          <w:szCs w:val="19"/>
        </w:rPr>
      </w:pPr>
      <w:r w:rsidRPr="0042644B">
        <w:rPr>
          <w:rFonts w:ascii="Gill Sans MT" w:hAnsi="Gill Sans MT" w:cstheme="minorHAnsi"/>
          <w:b/>
          <w:bCs/>
          <w:sz w:val="19"/>
          <w:szCs w:val="19"/>
        </w:rPr>
        <w:t>Une gestion simplifiée de la flotte</w:t>
      </w:r>
      <w:r w:rsidR="00365239" w:rsidRPr="0042644B">
        <w:rPr>
          <w:rFonts w:ascii="Gill Sans MT" w:hAnsi="Gill Sans MT" w:cstheme="minorHAnsi"/>
          <w:b/>
          <w:bCs/>
          <w:sz w:val="19"/>
          <w:szCs w:val="19"/>
        </w:rPr>
        <w:t> </w:t>
      </w:r>
      <w:r w:rsidRPr="0042644B">
        <w:rPr>
          <w:rFonts w:ascii="Gill Sans MT" w:hAnsi="Gill Sans MT" w:cstheme="minorHAnsi"/>
          <w:b/>
          <w:bCs/>
          <w:sz w:val="19"/>
          <w:szCs w:val="19"/>
        </w:rPr>
        <w:t xml:space="preserve">: </w:t>
      </w:r>
      <w:r w:rsidRPr="0042644B">
        <w:rPr>
          <w:rFonts w:ascii="Gill Sans MT" w:hAnsi="Gill Sans MT" w:cstheme="minorHAnsi"/>
          <w:sz w:val="19"/>
          <w:szCs w:val="19"/>
        </w:rPr>
        <w:t xml:space="preserve">Soyez toujours informé de l'emplacement de chaque machine, de son état de fonctionnement et de la nécessité éventuelle d'un entretien ou d'une maintenance. </w:t>
      </w:r>
    </w:p>
    <w:p w14:paraId="0DE4E3DF" w14:textId="3647F3F5" w:rsidR="002A05B1" w:rsidRPr="0042644B" w:rsidRDefault="002A05B1" w:rsidP="004A719C">
      <w:pPr>
        <w:pStyle w:val="ListParagraph"/>
        <w:widowControl w:val="0"/>
        <w:numPr>
          <w:ilvl w:val="0"/>
          <w:numId w:val="1"/>
        </w:numPr>
        <w:autoSpaceDE w:val="0"/>
        <w:autoSpaceDN w:val="0"/>
        <w:adjustRightInd w:val="0"/>
        <w:spacing w:after="240" w:line="276" w:lineRule="auto"/>
        <w:jc w:val="both"/>
        <w:rPr>
          <w:rFonts w:ascii="Gill Sans MT" w:hAnsi="Gill Sans MT" w:cstheme="minorHAnsi"/>
          <w:b/>
          <w:bCs/>
          <w:sz w:val="19"/>
          <w:szCs w:val="19"/>
        </w:rPr>
      </w:pPr>
      <w:r w:rsidRPr="0042644B">
        <w:rPr>
          <w:rFonts w:ascii="Gill Sans MT" w:hAnsi="Gill Sans MT" w:cstheme="minorHAnsi"/>
          <w:b/>
          <w:bCs/>
          <w:sz w:val="19"/>
          <w:szCs w:val="19"/>
        </w:rPr>
        <w:t>Une compréhension de l'utilisation des équipements</w:t>
      </w:r>
      <w:r w:rsidR="00365239" w:rsidRPr="0042644B">
        <w:rPr>
          <w:rFonts w:ascii="Gill Sans MT" w:hAnsi="Gill Sans MT" w:cstheme="minorHAnsi"/>
          <w:b/>
          <w:bCs/>
          <w:sz w:val="19"/>
          <w:szCs w:val="19"/>
        </w:rPr>
        <w:t> </w:t>
      </w:r>
      <w:r w:rsidRPr="0042644B">
        <w:rPr>
          <w:rFonts w:ascii="Gill Sans MT" w:hAnsi="Gill Sans MT" w:cstheme="minorHAnsi"/>
          <w:b/>
          <w:bCs/>
          <w:sz w:val="19"/>
          <w:szCs w:val="19"/>
        </w:rPr>
        <w:t xml:space="preserve">: </w:t>
      </w:r>
      <w:r w:rsidRPr="0042644B">
        <w:rPr>
          <w:rFonts w:ascii="Gill Sans MT" w:hAnsi="Gill Sans MT" w:cstheme="minorHAnsi"/>
          <w:sz w:val="19"/>
          <w:szCs w:val="19"/>
        </w:rPr>
        <w:t>Savoir quand et comment l'équipement est utilisé peut améliorer la rentabilité/le coût total de possession de l'équipement que vous possédez déjà, et vous aider à prendre des décisions plus judicieuses en matière d'achat/location d'équipement</w:t>
      </w:r>
      <w:r w:rsidR="00365239" w:rsidRPr="0042644B">
        <w:rPr>
          <w:rFonts w:ascii="Gill Sans MT" w:hAnsi="Gill Sans MT" w:cstheme="minorHAnsi"/>
          <w:sz w:val="19"/>
          <w:szCs w:val="19"/>
        </w:rPr>
        <w:t>.</w:t>
      </w:r>
      <w:r w:rsidRPr="0042644B">
        <w:rPr>
          <w:rFonts w:ascii="Gill Sans MT" w:hAnsi="Gill Sans MT" w:cstheme="minorHAnsi"/>
          <w:sz w:val="19"/>
          <w:szCs w:val="19"/>
        </w:rPr>
        <w:t xml:space="preserve"> </w:t>
      </w:r>
    </w:p>
    <w:p w14:paraId="210687B4" w14:textId="7B65B474" w:rsidR="002A05B1" w:rsidRPr="0042644B" w:rsidRDefault="002A05B1" w:rsidP="004A719C">
      <w:pPr>
        <w:pStyle w:val="ListParagraph"/>
        <w:widowControl w:val="0"/>
        <w:numPr>
          <w:ilvl w:val="0"/>
          <w:numId w:val="1"/>
        </w:numPr>
        <w:autoSpaceDE w:val="0"/>
        <w:autoSpaceDN w:val="0"/>
        <w:adjustRightInd w:val="0"/>
        <w:spacing w:after="240" w:line="276" w:lineRule="auto"/>
        <w:jc w:val="both"/>
        <w:rPr>
          <w:rFonts w:ascii="Gill Sans MT" w:hAnsi="Gill Sans MT" w:cstheme="minorHAnsi"/>
          <w:b/>
          <w:bCs/>
          <w:sz w:val="19"/>
          <w:szCs w:val="19"/>
        </w:rPr>
      </w:pPr>
      <w:r w:rsidRPr="0042644B">
        <w:rPr>
          <w:rFonts w:ascii="Gill Sans MT" w:hAnsi="Gill Sans MT" w:cstheme="minorHAnsi"/>
          <w:b/>
          <w:bCs/>
          <w:sz w:val="19"/>
          <w:szCs w:val="19"/>
        </w:rPr>
        <w:t>Une analyse de la charge de travail et la productivité</w:t>
      </w:r>
      <w:r w:rsidR="00365239" w:rsidRPr="0042644B">
        <w:rPr>
          <w:rFonts w:ascii="Gill Sans MT" w:hAnsi="Gill Sans MT" w:cstheme="minorHAnsi"/>
          <w:b/>
          <w:bCs/>
          <w:sz w:val="19"/>
          <w:szCs w:val="19"/>
        </w:rPr>
        <w:t> </w:t>
      </w:r>
      <w:r w:rsidRPr="0042644B">
        <w:rPr>
          <w:rFonts w:ascii="Gill Sans MT" w:hAnsi="Gill Sans MT" w:cstheme="minorHAnsi"/>
          <w:b/>
          <w:bCs/>
          <w:sz w:val="19"/>
          <w:szCs w:val="19"/>
        </w:rPr>
        <w:t xml:space="preserve">: </w:t>
      </w:r>
      <w:r w:rsidRPr="0042644B">
        <w:rPr>
          <w:rFonts w:ascii="Gill Sans MT" w:hAnsi="Gill Sans MT" w:cstheme="minorHAnsi"/>
          <w:sz w:val="19"/>
          <w:szCs w:val="19"/>
        </w:rPr>
        <w:t xml:space="preserve">La télématique offre aux gestionnaires de flotte et aux propriétaires d'entreprises une excellente perspective sur le fonctionnement des équipements et leur permet de savoir s'ils utilisent pleinement leur matériel et leur équipe dans le cadre de chaque projet. </w:t>
      </w:r>
    </w:p>
    <w:p w14:paraId="1290C5E2" w14:textId="1F44BCF1" w:rsidR="002A05B1" w:rsidRPr="0042644B" w:rsidRDefault="002A05B1" w:rsidP="004A719C">
      <w:pPr>
        <w:pStyle w:val="ListParagraph"/>
        <w:widowControl w:val="0"/>
        <w:numPr>
          <w:ilvl w:val="0"/>
          <w:numId w:val="1"/>
        </w:numPr>
        <w:autoSpaceDE w:val="0"/>
        <w:autoSpaceDN w:val="0"/>
        <w:adjustRightInd w:val="0"/>
        <w:spacing w:after="240" w:line="276" w:lineRule="auto"/>
        <w:jc w:val="both"/>
        <w:rPr>
          <w:rFonts w:ascii="Gill Sans MT" w:hAnsi="Gill Sans MT" w:cstheme="minorHAnsi"/>
          <w:b/>
          <w:bCs/>
          <w:sz w:val="19"/>
          <w:szCs w:val="19"/>
        </w:rPr>
      </w:pPr>
      <w:r w:rsidRPr="0042644B">
        <w:rPr>
          <w:rFonts w:ascii="Gill Sans MT" w:hAnsi="Gill Sans MT" w:cstheme="minorHAnsi"/>
          <w:b/>
          <w:bCs/>
          <w:sz w:val="19"/>
          <w:szCs w:val="19"/>
        </w:rPr>
        <w:lastRenderedPageBreak/>
        <w:t>Des alertes/alarmes en temps réel</w:t>
      </w:r>
      <w:r w:rsidR="00365239" w:rsidRPr="0042644B">
        <w:rPr>
          <w:rFonts w:ascii="Gill Sans MT" w:hAnsi="Gill Sans MT" w:cstheme="minorHAnsi"/>
          <w:b/>
          <w:bCs/>
          <w:sz w:val="19"/>
          <w:szCs w:val="19"/>
        </w:rPr>
        <w:t> </w:t>
      </w:r>
      <w:r w:rsidRPr="0042644B">
        <w:rPr>
          <w:rFonts w:ascii="Gill Sans MT" w:hAnsi="Gill Sans MT" w:cstheme="minorHAnsi"/>
          <w:b/>
          <w:bCs/>
          <w:sz w:val="19"/>
          <w:szCs w:val="19"/>
        </w:rPr>
        <w:t xml:space="preserve">: </w:t>
      </w:r>
      <w:r w:rsidRPr="0042644B">
        <w:rPr>
          <w:rFonts w:ascii="Gill Sans MT" w:hAnsi="Gill Sans MT" w:cstheme="minorHAnsi"/>
          <w:sz w:val="19"/>
          <w:szCs w:val="19"/>
        </w:rPr>
        <w:t>Il est temps de faire la vidange</w:t>
      </w:r>
      <w:r w:rsidR="00365239" w:rsidRPr="0042644B">
        <w:rPr>
          <w:rFonts w:ascii="Arial" w:hAnsi="Arial" w:cs="Arial"/>
          <w:sz w:val="19"/>
          <w:szCs w:val="19"/>
        </w:rPr>
        <w:t> </w:t>
      </w:r>
      <w:r w:rsidRPr="0042644B">
        <w:rPr>
          <w:rFonts w:ascii="Gill Sans MT" w:hAnsi="Gill Sans MT" w:cstheme="minorHAnsi"/>
          <w:sz w:val="19"/>
          <w:szCs w:val="19"/>
        </w:rPr>
        <w:t>? Le temps de fonctionnement du moteur est en dehors de la plage de fonctionnement préférée</w:t>
      </w:r>
      <w:r w:rsidR="00365239" w:rsidRPr="0042644B">
        <w:rPr>
          <w:rFonts w:ascii="Arial" w:hAnsi="Arial" w:cs="Arial"/>
          <w:sz w:val="19"/>
          <w:szCs w:val="19"/>
        </w:rPr>
        <w:t> </w:t>
      </w:r>
      <w:r w:rsidRPr="0042644B">
        <w:rPr>
          <w:rFonts w:ascii="Gill Sans MT" w:hAnsi="Gill Sans MT" w:cstheme="minorHAnsi"/>
          <w:sz w:val="19"/>
          <w:szCs w:val="19"/>
        </w:rPr>
        <w:t xml:space="preserve">? Les gestionnaires de flotte et les entrepreneurs reçoivent des alertes en temps réel pour les informer sur les conditions des machines qui nécessitent une attention particulière. </w:t>
      </w:r>
    </w:p>
    <w:p w14:paraId="57041923" w14:textId="715CA606" w:rsidR="002A05B1" w:rsidRPr="0042644B" w:rsidRDefault="002F5CA5" w:rsidP="004A719C">
      <w:pPr>
        <w:pStyle w:val="ListParagraph"/>
        <w:widowControl w:val="0"/>
        <w:numPr>
          <w:ilvl w:val="0"/>
          <w:numId w:val="1"/>
        </w:numPr>
        <w:autoSpaceDE w:val="0"/>
        <w:autoSpaceDN w:val="0"/>
        <w:adjustRightInd w:val="0"/>
        <w:spacing w:after="240" w:line="276" w:lineRule="auto"/>
        <w:jc w:val="both"/>
        <w:rPr>
          <w:rFonts w:ascii="Gill Sans MT" w:hAnsi="Gill Sans MT" w:cstheme="minorHAnsi"/>
          <w:b/>
          <w:bCs/>
          <w:sz w:val="19"/>
          <w:szCs w:val="19"/>
        </w:rPr>
      </w:pPr>
      <w:r w:rsidRPr="0042644B">
        <w:rPr>
          <w:rFonts w:ascii="Gill Sans MT" w:hAnsi="Gill Sans MT" w:cstheme="minorHAnsi"/>
          <w:b/>
          <w:bCs/>
          <w:sz w:val="19"/>
          <w:szCs w:val="19"/>
        </w:rPr>
        <w:t>Un partenariat</w:t>
      </w:r>
      <w:r w:rsidR="002A05B1" w:rsidRPr="0042644B">
        <w:rPr>
          <w:rFonts w:ascii="Gill Sans MT" w:hAnsi="Gill Sans MT" w:cstheme="minorHAnsi"/>
          <w:b/>
          <w:bCs/>
          <w:sz w:val="19"/>
          <w:szCs w:val="19"/>
        </w:rPr>
        <w:t xml:space="preserve"> avec un concessionnaire pour l'entretien préventif</w:t>
      </w:r>
      <w:r w:rsidR="00365239" w:rsidRPr="0042644B">
        <w:rPr>
          <w:rFonts w:ascii="Gill Sans MT" w:hAnsi="Gill Sans MT" w:cstheme="minorHAnsi"/>
          <w:b/>
          <w:bCs/>
          <w:sz w:val="19"/>
          <w:szCs w:val="19"/>
        </w:rPr>
        <w:t> </w:t>
      </w:r>
      <w:r w:rsidR="002A05B1" w:rsidRPr="0042644B">
        <w:rPr>
          <w:rFonts w:ascii="Gill Sans MT" w:hAnsi="Gill Sans MT" w:cstheme="minorHAnsi"/>
          <w:b/>
          <w:bCs/>
          <w:sz w:val="19"/>
          <w:szCs w:val="19"/>
        </w:rPr>
        <w:t xml:space="preserve">: </w:t>
      </w:r>
      <w:r w:rsidR="002A05B1" w:rsidRPr="0042644B">
        <w:rPr>
          <w:rFonts w:ascii="Gill Sans MT" w:hAnsi="Gill Sans MT" w:cstheme="minorHAnsi"/>
          <w:sz w:val="19"/>
          <w:szCs w:val="19"/>
        </w:rPr>
        <w:t xml:space="preserve">vous pouvez autoriser votre revendeur CASE local à accéder à vos données télématiques afin d'établir un partenariat plus proactif avec vous sur l'entretien préventif et </w:t>
      </w:r>
      <w:r w:rsidRPr="0042644B">
        <w:rPr>
          <w:rFonts w:ascii="Gill Sans MT" w:hAnsi="Gill Sans MT" w:cstheme="minorHAnsi"/>
          <w:sz w:val="19"/>
          <w:szCs w:val="19"/>
        </w:rPr>
        <w:t xml:space="preserve">la planification de la maintenance de vos équipements. </w:t>
      </w:r>
      <w:r w:rsidR="002A05B1" w:rsidRPr="0042644B">
        <w:rPr>
          <w:rFonts w:ascii="Gill Sans MT" w:hAnsi="Gill Sans MT" w:cstheme="minorHAnsi"/>
          <w:sz w:val="19"/>
          <w:szCs w:val="19"/>
        </w:rPr>
        <w:t xml:space="preserve"> </w:t>
      </w:r>
    </w:p>
    <w:p w14:paraId="67D7B9CE" w14:textId="3F566331" w:rsidR="002A05B1" w:rsidRPr="0042644B" w:rsidRDefault="002A05B1" w:rsidP="004A719C">
      <w:pPr>
        <w:pStyle w:val="ListParagraph"/>
        <w:widowControl w:val="0"/>
        <w:numPr>
          <w:ilvl w:val="0"/>
          <w:numId w:val="1"/>
        </w:numPr>
        <w:autoSpaceDE w:val="0"/>
        <w:autoSpaceDN w:val="0"/>
        <w:adjustRightInd w:val="0"/>
        <w:spacing w:after="240" w:line="276" w:lineRule="auto"/>
        <w:jc w:val="both"/>
        <w:rPr>
          <w:rFonts w:ascii="Gill Sans MT" w:hAnsi="Gill Sans MT" w:cstheme="minorHAnsi"/>
          <w:b/>
          <w:bCs/>
          <w:sz w:val="19"/>
          <w:szCs w:val="19"/>
        </w:rPr>
      </w:pPr>
      <w:r w:rsidRPr="0042644B">
        <w:rPr>
          <w:rFonts w:ascii="Gill Sans MT" w:hAnsi="Gill Sans MT" w:cstheme="minorHAnsi"/>
          <w:b/>
          <w:bCs/>
          <w:sz w:val="19"/>
          <w:szCs w:val="19"/>
        </w:rPr>
        <w:t>La sécurité des équipements</w:t>
      </w:r>
      <w:r w:rsidR="00365239" w:rsidRPr="0042644B">
        <w:rPr>
          <w:rFonts w:ascii="Gill Sans MT" w:hAnsi="Gill Sans MT" w:cstheme="minorHAnsi"/>
          <w:b/>
          <w:bCs/>
          <w:sz w:val="19"/>
          <w:szCs w:val="19"/>
        </w:rPr>
        <w:t> </w:t>
      </w:r>
      <w:r w:rsidRPr="0042644B">
        <w:rPr>
          <w:rFonts w:ascii="Gill Sans MT" w:hAnsi="Gill Sans MT" w:cstheme="minorHAnsi"/>
          <w:b/>
          <w:bCs/>
          <w:sz w:val="19"/>
          <w:szCs w:val="19"/>
        </w:rPr>
        <w:t>:</w:t>
      </w:r>
      <w:r w:rsidRPr="0042644B">
        <w:rPr>
          <w:rFonts w:ascii="Gill Sans MT" w:hAnsi="Gill Sans MT" w:cstheme="minorHAnsi"/>
          <w:sz w:val="19"/>
          <w:szCs w:val="19"/>
        </w:rPr>
        <w:t xml:space="preserve"> La télématique permet de localiser les équipements volés, qui, s'ils sont récupérés et restitués par les autorités, sont beaucoup moins coûteux que le temps d'immobilisation et les coûts de remplacement qui en résultent.</w:t>
      </w:r>
    </w:p>
    <w:p w14:paraId="5A00153C" w14:textId="69A64988" w:rsidR="002A05B1" w:rsidRPr="0042644B" w:rsidRDefault="002A05B1" w:rsidP="004A719C">
      <w:pPr>
        <w:widowControl w:val="0"/>
        <w:autoSpaceDE w:val="0"/>
        <w:autoSpaceDN w:val="0"/>
        <w:adjustRightInd w:val="0"/>
        <w:spacing w:after="240" w:line="276" w:lineRule="auto"/>
        <w:jc w:val="both"/>
        <w:rPr>
          <w:rFonts w:ascii="Gill Sans MT" w:hAnsi="Gill Sans MT" w:cstheme="minorHAnsi"/>
          <w:b/>
          <w:bCs/>
          <w:szCs w:val="19"/>
        </w:rPr>
      </w:pPr>
      <w:r w:rsidRPr="0042644B">
        <w:rPr>
          <w:rFonts w:ascii="Gill Sans MT" w:hAnsi="Gill Sans MT" w:cstheme="minorHAnsi"/>
        </w:rPr>
        <w:t>Ce ne sont là que quelques exemples de la façon dont la nouvelle plate-forme télématique SiteWatch de CASE contribue à améliorer le fonctionnement de votre équipement. Contactez votre revendeur CASE local pour plus de détails ou visitez le site CaseCE.com/emea/en-eu/solutions/SiteWatch/SiteWatch pour plus d'informations.</w:t>
      </w:r>
      <w:r w:rsidR="009A2413" w:rsidRPr="0042644B">
        <w:rPr>
          <w:rFonts w:ascii="Gill Sans MT" w:hAnsi="Gill Sans MT" w:cstheme="minorHAnsi"/>
        </w:rPr>
        <w:t xml:space="preserve"> </w:t>
      </w:r>
    </w:p>
    <w:tbl>
      <w:tblPr>
        <w:tblW w:w="8505" w:type="dxa"/>
        <w:tblCellSpacing w:w="0" w:type="dxa"/>
        <w:tblCellMar>
          <w:left w:w="0" w:type="dxa"/>
          <w:right w:w="0" w:type="dxa"/>
        </w:tblCellMar>
        <w:tblLook w:val="04A0" w:firstRow="1" w:lastRow="0" w:firstColumn="1" w:lastColumn="0" w:noHBand="0" w:noVBand="1"/>
      </w:tblPr>
      <w:tblGrid>
        <w:gridCol w:w="8505"/>
      </w:tblGrid>
      <w:tr w:rsidR="00B82DCA" w:rsidRPr="00B82DCA" w14:paraId="63CA3BB8" w14:textId="77777777" w:rsidTr="00103E27">
        <w:trPr>
          <w:trHeight w:val="1370"/>
          <w:tblCellSpacing w:w="0" w:type="dxa"/>
        </w:trPr>
        <w:tc>
          <w:tcPr>
            <w:tcW w:w="8505" w:type="dxa"/>
            <w:vAlign w:val="center"/>
          </w:tcPr>
          <w:bookmarkEnd w:id="0"/>
          <w:bookmarkEnd w:id="1"/>
          <w:p w14:paraId="6FBDB892" w14:textId="157A09D3" w:rsidR="00B82DCA" w:rsidRPr="002A3ADE" w:rsidRDefault="00B82DCA" w:rsidP="00103E27">
            <w:pPr>
              <w:pStyle w:val="01TESTO"/>
              <w:rPr>
                <w:rFonts w:ascii="Gill Sans MT" w:hAnsi="Gill Sans MT"/>
                <w:b/>
                <w:bCs/>
                <w:color w:val="auto"/>
                <w:szCs w:val="19"/>
                <w:lang w:val="en-GB" w:eastAsia="en-GB"/>
              </w:rPr>
            </w:pPr>
            <w:r w:rsidRPr="002A3ADE">
              <w:rPr>
                <w:rFonts w:ascii="Gill Sans MT" w:hAnsi="Gill Sans MT"/>
                <w:b/>
                <w:bCs/>
                <w:color w:val="auto"/>
                <w:szCs w:val="19"/>
                <w:lang w:val="en-GB" w:eastAsia="en-GB"/>
              </w:rPr>
              <w:t xml:space="preserve">Note à </w:t>
            </w:r>
            <w:proofErr w:type="spellStart"/>
            <w:r w:rsidRPr="002A3ADE">
              <w:rPr>
                <w:rFonts w:ascii="Gill Sans MT" w:hAnsi="Gill Sans MT"/>
                <w:b/>
                <w:bCs/>
                <w:color w:val="auto"/>
                <w:szCs w:val="19"/>
                <w:lang w:val="en-GB" w:eastAsia="en-GB"/>
              </w:rPr>
              <w:t>l’attention</w:t>
            </w:r>
            <w:proofErr w:type="spellEnd"/>
            <w:r w:rsidRPr="002A3ADE">
              <w:rPr>
                <w:rFonts w:ascii="Gill Sans MT" w:hAnsi="Gill Sans MT"/>
                <w:b/>
                <w:bCs/>
                <w:color w:val="auto"/>
                <w:szCs w:val="19"/>
                <w:lang w:val="en-GB" w:eastAsia="en-GB"/>
              </w:rPr>
              <w:t xml:space="preserve"> des </w:t>
            </w:r>
            <w:proofErr w:type="spellStart"/>
            <w:proofErr w:type="gramStart"/>
            <w:r w:rsidRPr="002A3ADE">
              <w:rPr>
                <w:rFonts w:ascii="Gill Sans MT" w:hAnsi="Gill Sans MT"/>
                <w:b/>
                <w:bCs/>
                <w:color w:val="auto"/>
                <w:szCs w:val="19"/>
                <w:lang w:val="en-GB" w:eastAsia="en-GB"/>
              </w:rPr>
              <w:t>rédacteurs</w:t>
            </w:r>
            <w:proofErr w:type="spellEnd"/>
            <w:r w:rsidRPr="002A3ADE">
              <w:rPr>
                <w:rFonts w:ascii="Gill Sans MT" w:hAnsi="Gill Sans MT"/>
                <w:b/>
                <w:bCs/>
                <w:color w:val="auto"/>
                <w:szCs w:val="19"/>
                <w:lang w:val="en-GB" w:eastAsia="en-GB"/>
              </w:rPr>
              <w:t xml:space="preserve"> :</w:t>
            </w:r>
            <w:proofErr w:type="gramEnd"/>
          </w:p>
          <w:p w14:paraId="5C5EB618" w14:textId="77777777" w:rsidR="00B82DCA" w:rsidRPr="00B82DCA" w:rsidRDefault="00B82DCA" w:rsidP="00103E27">
            <w:pPr>
              <w:pStyle w:val="01TESTO"/>
              <w:rPr>
                <w:rFonts w:ascii="Gill Sans MT" w:hAnsi="Gill Sans MT"/>
                <w:i/>
                <w:iCs/>
                <w:color w:val="auto"/>
                <w:sz w:val="18"/>
                <w:szCs w:val="18"/>
                <w:lang w:val="en-GB" w:eastAsia="en-GB"/>
              </w:rPr>
            </w:pPr>
            <w:r w:rsidRPr="00B82DCA">
              <w:rPr>
                <w:rFonts w:ascii="Gill Sans MT" w:hAnsi="Gill Sans MT"/>
                <w:i/>
                <w:iCs/>
                <w:color w:val="auto"/>
                <w:sz w:val="18"/>
                <w:szCs w:val="18"/>
                <w:lang w:val="en-GB" w:eastAsia="en-GB"/>
              </w:rPr>
              <w:t xml:space="preserve">Pour </w:t>
            </w:r>
            <w:proofErr w:type="spellStart"/>
            <w:r w:rsidRPr="00B82DCA">
              <w:rPr>
                <w:rFonts w:ascii="Gill Sans MT" w:hAnsi="Gill Sans MT"/>
                <w:i/>
                <w:iCs/>
                <w:color w:val="auto"/>
                <w:sz w:val="18"/>
                <w:szCs w:val="18"/>
                <w:lang w:val="en-GB" w:eastAsia="en-GB"/>
              </w:rPr>
              <w:t>télécharger</w:t>
            </w:r>
            <w:proofErr w:type="spellEnd"/>
            <w:r w:rsidRPr="00B82DCA">
              <w:rPr>
                <w:rFonts w:ascii="Gill Sans MT" w:hAnsi="Gill Sans MT"/>
                <w:i/>
                <w:iCs/>
                <w:color w:val="auto"/>
                <w:sz w:val="18"/>
                <w:szCs w:val="18"/>
                <w:lang w:val="en-GB" w:eastAsia="en-GB"/>
              </w:rPr>
              <w:t xml:space="preserve"> </w:t>
            </w:r>
            <w:proofErr w:type="spellStart"/>
            <w:r w:rsidRPr="00B82DCA">
              <w:rPr>
                <w:rFonts w:ascii="Gill Sans MT" w:hAnsi="Gill Sans MT"/>
                <w:i/>
                <w:iCs/>
                <w:color w:val="auto"/>
                <w:sz w:val="18"/>
                <w:szCs w:val="18"/>
                <w:lang w:val="en-GB" w:eastAsia="en-GB"/>
              </w:rPr>
              <w:t>nos</w:t>
            </w:r>
            <w:proofErr w:type="spellEnd"/>
            <w:r w:rsidRPr="00B82DCA">
              <w:rPr>
                <w:rFonts w:ascii="Gill Sans MT" w:hAnsi="Gill Sans MT"/>
                <w:i/>
                <w:iCs/>
                <w:color w:val="auto"/>
                <w:sz w:val="18"/>
                <w:szCs w:val="18"/>
                <w:lang w:val="en-GB" w:eastAsia="en-GB"/>
              </w:rPr>
              <w:t xml:space="preserve"> </w:t>
            </w:r>
            <w:proofErr w:type="spellStart"/>
            <w:r w:rsidRPr="00B82DCA">
              <w:rPr>
                <w:rFonts w:ascii="Gill Sans MT" w:hAnsi="Gill Sans MT"/>
                <w:i/>
                <w:iCs/>
                <w:color w:val="auto"/>
                <w:sz w:val="18"/>
                <w:szCs w:val="18"/>
                <w:lang w:val="en-GB" w:eastAsia="en-GB"/>
              </w:rPr>
              <w:t>visuels</w:t>
            </w:r>
            <w:proofErr w:type="spellEnd"/>
            <w:r w:rsidRPr="00B82DCA">
              <w:rPr>
                <w:rFonts w:ascii="Gill Sans MT" w:hAnsi="Gill Sans MT"/>
                <w:i/>
                <w:iCs/>
                <w:color w:val="auto"/>
                <w:sz w:val="18"/>
                <w:szCs w:val="18"/>
                <w:lang w:val="en-GB" w:eastAsia="en-GB"/>
              </w:rPr>
              <w:t xml:space="preserve"> et </w:t>
            </w:r>
            <w:proofErr w:type="spellStart"/>
            <w:r w:rsidRPr="00B82DCA">
              <w:rPr>
                <w:rFonts w:ascii="Gill Sans MT" w:hAnsi="Gill Sans MT"/>
                <w:i/>
                <w:iCs/>
                <w:color w:val="auto"/>
                <w:sz w:val="18"/>
                <w:szCs w:val="18"/>
                <w:lang w:val="en-GB" w:eastAsia="en-GB"/>
              </w:rPr>
              <w:t>vidéos</w:t>
            </w:r>
            <w:proofErr w:type="spellEnd"/>
            <w:r w:rsidRPr="00B82DCA">
              <w:rPr>
                <w:rFonts w:ascii="Gill Sans MT" w:hAnsi="Gill Sans MT"/>
                <w:i/>
                <w:iCs/>
                <w:color w:val="auto"/>
                <w:sz w:val="18"/>
                <w:szCs w:val="18"/>
                <w:lang w:val="en-GB" w:eastAsia="en-GB"/>
              </w:rPr>
              <w:t xml:space="preserve"> </w:t>
            </w:r>
            <w:proofErr w:type="spellStart"/>
            <w:r w:rsidRPr="00B82DCA">
              <w:rPr>
                <w:rFonts w:ascii="Gill Sans MT" w:hAnsi="Gill Sans MT"/>
                <w:i/>
                <w:iCs/>
                <w:color w:val="auto"/>
                <w:sz w:val="18"/>
                <w:szCs w:val="18"/>
                <w:lang w:val="en-GB" w:eastAsia="en-GB"/>
              </w:rPr>
              <w:t>en</w:t>
            </w:r>
            <w:proofErr w:type="spellEnd"/>
            <w:r w:rsidRPr="00B82DCA">
              <w:rPr>
                <w:rFonts w:ascii="Gill Sans MT" w:hAnsi="Gill Sans MT"/>
                <w:i/>
                <w:iCs/>
                <w:color w:val="auto"/>
                <w:sz w:val="18"/>
                <w:szCs w:val="18"/>
                <w:lang w:val="en-GB" w:eastAsia="en-GB"/>
              </w:rPr>
              <w:t xml:space="preserve"> haute </w:t>
            </w:r>
            <w:proofErr w:type="spellStart"/>
            <w:r w:rsidRPr="00B82DCA">
              <w:rPr>
                <w:rFonts w:ascii="Gill Sans MT" w:hAnsi="Gill Sans MT"/>
                <w:i/>
                <w:iCs/>
                <w:color w:val="auto"/>
                <w:sz w:val="18"/>
                <w:szCs w:val="18"/>
                <w:lang w:val="en-GB" w:eastAsia="en-GB"/>
              </w:rPr>
              <w:t>définition</w:t>
            </w:r>
            <w:proofErr w:type="spellEnd"/>
            <w:r w:rsidRPr="00B82DCA">
              <w:rPr>
                <w:rFonts w:ascii="Gill Sans MT" w:hAnsi="Gill Sans MT"/>
                <w:i/>
                <w:iCs/>
                <w:color w:val="auto"/>
                <w:sz w:val="18"/>
                <w:szCs w:val="18"/>
                <w:lang w:val="en-GB" w:eastAsia="en-GB"/>
              </w:rPr>
              <w:t xml:space="preserve"> (JPG 300 DPI, CMJN) et pour </w:t>
            </w:r>
            <w:proofErr w:type="spellStart"/>
            <w:r w:rsidRPr="00B82DCA">
              <w:rPr>
                <w:rFonts w:ascii="Gill Sans MT" w:hAnsi="Gill Sans MT"/>
                <w:i/>
                <w:iCs/>
                <w:color w:val="auto"/>
                <w:sz w:val="18"/>
                <w:szCs w:val="18"/>
                <w:lang w:val="en-GB" w:eastAsia="en-GB"/>
              </w:rPr>
              <w:t>accéder</w:t>
            </w:r>
            <w:proofErr w:type="spellEnd"/>
            <w:r w:rsidRPr="00B82DCA">
              <w:rPr>
                <w:rFonts w:ascii="Gill Sans MT" w:hAnsi="Gill Sans MT"/>
                <w:i/>
                <w:iCs/>
                <w:color w:val="auto"/>
                <w:sz w:val="18"/>
                <w:szCs w:val="18"/>
                <w:lang w:val="en-GB" w:eastAsia="en-GB"/>
              </w:rPr>
              <w:t xml:space="preserve"> à </w:t>
            </w:r>
            <w:proofErr w:type="spellStart"/>
            <w:r w:rsidRPr="00B82DCA">
              <w:rPr>
                <w:rFonts w:ascii="Gill Sans MT" w:hAnsi="Gill Sans MT"/>
                <w:i/>
                <w:iCs/>
                <w:color w:val="auto"/>
                <w:sz w:val="18"/>
                <w:szCs w:val="18"/>
                <w:lang w:val="en-GB" w:eastAsia="en-GB"/>
              </w:rPr>
              <w:t>tous</w:t>
            </w:r>
            <w:proofErr w:type="spellEnd"/>
            <w:r w:rsidRPr="00B82DCA">
              <w:rPr>
                <w:rFonts w:ascii="Gill Sans MT" w:hAnsi="Gill Sans MT"/>
                <w:i/>
                <w:iCs/>
                <w:color w:val="auto"/>
                <w:sz w:val="18"/>
                <w:szCs w:val="18"/>
                <w:lang w:val="en-GB" w:eastAsia="en-GB"/>
              </w:rPr>
              <w:t xml:space="preserve"> </w:t>
            </w:r>
            <w:proofErr w:type="spellStart"/>
            <w:r w:rsidRPr="00B82DCA">
              <w:rPr>
                <w:rFonts w:ascii="Gill Sans MT" w:hAnsi="Gill Sans MT"/>
                <w:i/>
                <w:iCs/>
                <w:color w:val="auto"/>
                <w:sz w:val="18"/>
                <w:szCs w:val="18"/>
                <w:lang w:val="en-GB" w:eastAsia="en-GB"/>
              </w:rPr>
              <w:t>nos</w:t>
            </w:r>
            <w:proofErr w:type="spellEnd"/>
            <w:r w:rsidRPr="00B82DCA">
              <w:rPr>
                <w:rFonts w:ascii="Gill Sans MT" w:hAnsi="Gill Sans MT"/>
                <w:i/>
                <w:iCs/>
                <w:color w:val="auto"/>
                <w:sz w:val="18"/>
                <w:szCs w:val="18"/>
                <w:lang w:val="en-GB" w:eastAsia="en-GB"/>
              </w:rPr>
              <w:t xml:space="preserve"> communiqués de </w:t>
            </w:r>
            <w:proofErr w:type="spellStart"/>
            <w:r w:rsidRPr="00B82DCA">
              <w:rPr>
                <w:rFonts w:ascii="Gill Sans MT" w:hAnsi="Gill Sans MT"/>
                <w:i/>
                <w:iCs/>
                <w:color w:val="auto"/>
                <w:sz w:val="18"/>
                <w:szCs w:val="18"/>
                <w:lang w:val="en-GB" w:eastAsia="en-GB"/>
              </w:rPr>
              <w:t>presse</w:t>
            </w:r>
            <w:proofErr w:type="spellEnd"/>
            <w:r w:rsidRPr="00B82DCA">
              <w:rPr>
                <w:rFonts w:ascii="Gill Sans MT" w:hAnsi="Gill Sans MT"/>
                <w:i/>
                <w:iCs/>
                <w:color w:val="auto"/>
                <w:sz w:val="18"/>
                <w:szCs w:val="18"/>
                <w:lang w:val="en-GB" w:eastAsia="en-GB"/>
              </w:rPr>
              <w:t xml:space="preserve">, </w:t>
            </w:r>
            <w:proofErr w:type="spellStart"/>
            <w:r w:rsidRPr="00B82DCA">
              <w:rPr>
                <w:rFonts w:ascii="Gill Sans MT" w:hAnsi="Gill Sans MT"/>
                <w:i/>
                <w:iCs/>
                <w:color w:val="auto"/>
                <w:sz w:val="18"/>
                <w:szCs w:val="18"/>
                <w:lang w:val="en-GB" w:eastAsia="en-GB"/>
              </w:rPr>
              <w:t>rendez-vous</w:t>
            </w:r>
            <w:proofErr w:type="spellEnd"/>
            <w:r w:rsidRPr="00B82DCA">
              <w:rPr>
                <w:rFonts w:ascii="Gill Sans MT" w:hAnsi="Gill Sans MT"/>
                <w:i/>
                <w:iCs/>
                <w:color w:val="auto"/>
                <w:sz w:val="18"/>
                <w:szCs w:val="18"/>
                <w:lang w:val="en-GB" w:eastAsia="en-GB"/>
              </w:rPr>
              <w:t xml:space="preserve"> sur </w:t>
            </w:r>
            <w:proofErr w:type="spellStart"/>
            <w:r w:rsidRPr="00B82DCA">
              <w:rPr>
                <w:rFonts w:ascii="Gill Sans MT" w:hAnsi="Gill Sans MT"/>
                <w:i/>
                <w:iCs/>
                <w:color w:val="auto"/>
                <w:sz w:val="18"/>
                <w:szCs w:val="18"/>
                <w:lang w:val="en-GB" w:eastAsia="en-GB"/>
              </w:rPr>
              <w:t>notre</w:t>
            </w:r>
            <w:proofErr w:type="spellEnd"/>
            <w:r w:rsidRPr="00B82DCA">
              <w:rPr>
                <w:rFonts w:ascii="Gill Sans MT" w:hAnsi="Gill Sans MT"/>
                <w:i/>
                <w:iCs/>
                <w:color w:val="auto"/>
                <w:sz w:val="18"/>
                <w:szCs w:val="18"/>
                <w:lang w:val="en-GB" w:eastAsia="en-GB"/>
              </w:rPr>
              <w:t xml:space="preserve"> site : </w:t>
            </w:r>
            <w:hyperlink r:id="rId10" w:history="1">
              <w:r w:rsidRPr="00B82DCA">
                <w:rPr>
                  <w:rStyle w:val="Hyperlink"/>
                  <w:rFonts w:ascii="Gill Sans MT" w:hAnsi="Gill Sans MT"/>
                  <w:i/>
                  <w:iCs/>
                  <w:sz w:val="18"/>
                  <w:szCs w:val="18"/>
                  <w:lang w:val="en-GB" w:eastAsia="en-GB"/>
                </w:rPr>
                <w:t>www.casecetools.com/press-kit</w:t>
              </w:r>
            </w:hyperlink>
            <w:r w:rsidRPr="00B82DCA">
              <w:rPr>
                <w:rFonts w:ascii="Gill Sans MT" w:hAnsi="Gill Sans MT"/>
                <w:i/>
                <w:iCs/>
                <w:color w:val="auto"/>
                <w:sz w:val="18"/>
                <w:szCs w:val="18"/>
                <w:lang w:val="en-GB" w:eastAsia="en-GB"/>
              </w:rPr>
              <w:t xml:space="preserve">. </w:t>
            </w:r>
          </w:p>
          <w:p w14:paraId="387C96B4" w14:textId="77777777" w:rsidR="00B82DCA" w:rsidRPr="00B82DCA" w:rsidRDefault="00B82DCA" w:rsidP="00103E27">
            <w:pPr>
              <w:pStyle w:val="01TESTO"/>
              <w:rPr>
                <w:rFonts w:ascii="Gill Sans MT" w:hAnsi="Gill Sans MT"/>
                <w:i/>
                <w:iCs/>
                <w:color w:val="auto"/>
                <w:sz w:val="18"/>
                <w:szCs w:val="18"/>
                <w:lang w:val="en-GB" w:eastAsia="en-GB"/>
              </w:rPr>
            </w:pPr>
          </w:p>
          <w:p w14:paraId="1E9A8B30" w14:textId="18889D37" w:rsidR="00B82DCA" w:rsidRPr="002A3ADE" w:rsidRDefault="00B82DCA" w:rsidP="00103E27">
            <w:pPr>
              <w:pStyle w:val="01TESTO"/>
              <w:rPr>
                <w:rFonts w:ascii="Gill Sans MT" w:hAnsi="Gill Sans MT"/>
                <w:b/>
                <w:bCs/>
                <w:i/>
                <w:iCs/>
                <w:color w:val="auto"/>
                <w:szCs w:val="19"/>
                <w:lang w:val="en" w:eastAsia="en-GB"/>
              </w:rPr>
            </w:pPr>
            <w:r w:rsidRPr="002A3ADE">
              <w:rPr>
                <w:rFonts w:ascii="Gill Sans MT" w:hAnsi="Gill Sans MT"/>
                <w:b/>
                <w:bCs/>
                <w:i/>
                <w:iCs/>
                <w:color w:val="auto"/>
                <w:szCs w:val="19"/>
                <w:lang w:val="en-GB" w:eastAsia="en-GB"/>
              </w:rPr>
              <w:t xml:space="preserve">Suivez CASE </w:t>
            </w:r>
            <w:proofErr w:type="gramStart"/>
            <w:r w:rsidRPr="002A3ADE">
              <w:rPr>
                <w:rFonts w:ascii="Gill Sans MT" w:hAnsi="Gill Sans MT"/>
                <w:b/>
                <w:bCs/>
                <w:i/>
                <w:iCs/>
                <w:color w:val="auto"/>
                <w:szCs w:val="19"/>
                <w:lang w:val="en-GB" w:eastAsia="en-GB"/>
              </w:rPr>
              <w:t>sur :</w:t>
            </w:r>
            <w:proofErr w:type="gramEnd"/>
          </w:p>
          <w:p w14:paraId="29DA7706" w14:textId="77777777" w:rsidR="00B82DCA" w:rsidRPr="00B82DCA" w:rsidRDefault="00B82DCA" w:rsidP="00103E27">
            <w:pPr>
              <w:pStyle w:val="01TESTO"/>
              <w:rPr>
                <w:rFonts w:ascii="Gill Sans MT" w:hAnsi="Gill Sans MT"/>
                <w:color w:val="auto"/>
                <w:sz w:val="18"/>
                <w:szCs w:val="18"/>
                <w:lang w:val="en-GB" w:eastAsia="en-GB"/>
              </w:rPr>
            </w:pPr>
          </w:p>
          <w:p w14:paraId="3D14D8B4" w14:textId="77777777" w:rsidR="00B82DCA" w:rsidRPr="00B82DCA" w:rsidRDefault="00B82DCA" w:rsidP="00103E27">
            <w:pPr>
              <w:pStyle w:val="01TESTO"/>
              <w:rPr>
                <w:rFonts w:ascii="Gill Sans MT" w:hAnsi="Gill Sans MT"/>
                <w:color w:val="auto"/>
                <w:sz w:val="18"/>
                <w:szCs w:val="18"/>
                <w:lang w:val="en-GB" w:eastAsia="en-GB"/>
              </w:rPr>
            </w:pPr>
            <w:bookmarkStart w:id="2" w:name="_Hlk527712055"/>
            <w:bookmarkEnd w:id="2"/>
            <w:r w:rsidRPr="00B82DCA">
              <w:rPr>
                <w:rFonts w:ascii="Gill Sans MT" w:hAnsi="Gill Sans MT"/>
                <w:noProof/>
                <w:color w:val="auto"/>
                <w:sz w:val="18"/>
                <w:szCs w:val="18"/>
                <w:lang w:val="en-GB" w:eastAsia="en-GB"/>
              </w:rPr>
              <w:drawing>
                <wp:inline distT="0" distB="0" distL="0" distR="0" wp14:anchorId="5592BB2A" wp14:editId="79230C60">
                  <wp:extent cx="200025" cy="200025"/>
                  <wp:effectExtent l="0" t="0" r="9525" b="9525"/>
                  <wp:docPr id="19" name="Picture 19">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2" r:link="rId13">
                            <a:extLst>
                              <a:ext uri="{28A0092B-C50C-407E-A947-70E740481C1C}">
                                <a14:useLocalDpi xmlns:a14="http://schemas.microsoft.com/office/drawing/2010/main" val="0"/>
                              </a:ext>
                            </a:extLst>
                          </a:blip>
                          <a:srcRect/>
                          <a:stretch>
                            <a:fillRect/>
                          </a:stretch>
                        </pic:blipFill>
                        <pic:spPr bwMode="auto">
                          <a:xfrm>
                            <a:off x="0" y="0"/>
                            <a:ext cx="200025" cy="200025"/>
                          </a:xfrm>
                          <a:prstGeom prst="rect">
                            <a:avLst/>
                          </a:prstGeom>
                          <a:noFill/>
                          <a:ln>
                            <a:noFill/>
                          </a:ln>
                        </pic:spPr>
                      </pic:pic>
                    </a:graphicData>
                  </a:graphic>
                </wp:inline>
              </w:drawing>
            </w:r>
            <w:r w:rsidRPr="00B82DCA">
              <w:rPr>
                <w:rFonts w:ascii="Gill Sans MT" w:hAnsi="Gill Sans MT"/>
                <w:color w:val="auto"/>
                <w:sz w:val="18"/>
                <w:szCs w:val="18"/>
                <w:lang w:val="en-GB" w:eastAsia="en-GB"/>
              </w:rPr>
              <w:t xml:space="preserve">   </w:t>
            </w:r>
            <w:r w:rsidRPr="00B82DCA">
              <w:rPr>
                <w:rFonts w:ascii="Gill Sans MT" w:hAnsi="Gill Sans MT"/>
                <w:noProof/>
                <w:color w:val="auto"/>
                <w:sz w:val="18"/>
                <w:szCs w:val="18"/>
                <w:lang w:val="en-GB" w:eastAsia="en-GB"/>
              </w:rPr>
              <w:drawing>
                <wp:inline distT="0" distB="0" distL="0" distR="0" wp14:anchorId="509EC213" wp14:editId="75882ED6">
                  <wp:extent cx="200025" cy="200025"/>
                  <wp:effectExtent l="0" t="0" r="9525" b="9525"/>
                  <wp:docPr id="18" name="Picture 18">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5" r:link="rId16">
                            <a:extLst>
                              <a:ext uri="{28A0092B-C50C-407E-A947-70E740481C1C}">
                                <a14:useLocalDpi xmlns:a14="http://schemas.microsoft.com/office/drawing/2010/main" val="0"/>
                              </a:ext>
                            </a:extLst>
                          </a:blip>
                          <a:srcRect/>
                          <a:stretch>
                            <a:fillRect/>
                          </a:stretch>
                        </pic:blipFill>
                        <pic:spPr bwMode="auto">
                          <a:xfrm>
                            <a:off x="0" y="0"/>
                            <a:ext cx="200025" cy="200025"/>
                          </a:xfrm>
                          <a:prstGeom prst="rect">
                            <a:avLst/>
                          </a:prstGeom>
                          <a:noFill/>
                          <a:ln>
                            <a:noFill/>
                          </a:ln>
                        </pic:spPr>
                      </pic:pic>
                    </a:graphicData>
                  </a:graphic>
                </wp:inline>
              </w:drawing>
            </w:r>
            <w:r w:rsidRPr="00B82DCA">
              <w:rPr>
                <w:rFonts w:ascii="Gill Sans MT" w:hAnsi="Gill Sans MT"/>
                <w:color w:val="auto"/>
                <w:sz w:val="18"/>
                <w:szCs w:val="18"/>
                <w:lang w:val="en-GB" w:eastAsia="en-GB"/>
              </w:rPr>
              <w:t>   </w:t>
            </w:r>
            <w:r w:rsidRPr="00B82DCA">
              <w:rPr>
                <w:rFonts w:ascii="Gill Sans MT" w:hAnsi="Gill Sans MT"/>
                <w:noProof/>
                <w:color w:val="auto"/>
                <w:sz w:val="18"/>
                <w:szCs w:val="18"/>
                <w:lang w:val="en-GB" w:eastAsia="en-GB"/>
              </w:rPr>
              <w:drawing>
                <wp:inline distT="0" distB="0" distL="0" distR="0" wp14:anchorId="0479C314" wp14:editId="4E3D8924">
                  <wp:extent cx="200025" cy="200025"/>
                  <wp:effectExtent l="0" t="0" r="9525" b="9525"/>
                  <wp:docPr id="17" name="Picture 17">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8" r:link="rId19">
                            <a:extLst>
                              <a:ext uri="{28A0092B-C50C-407E-A947-70E740481C1C}">
                                <a14:useLocalDpi xmlns:a14="http://schemas.microsoft.com/office/drawing/2010/main" val="0"/>
                              </a:ext>
                            </a:extLst>
                          </a:blip>
                          <a:srcRect/>
                          <a:stretch>
                            <a:fillRect/>
                          </a:stretch>
                        </pic:blipFill>
                        <pic:spPr bwMode="auto">
                          <a:xfrm>
                            <a:off x="0" y="0"/>
                            <a:ext cx="200025" cy="200025"/>
                          </a:xfrm>
                          <a:prstGeom prst="rect">
                            <a:avLst/>
                          </a:prstGeom>
                          <a:noFill/>
                          <a:ln>
                            <a:noFill/>
                          </a:ln>
                        </pic:spPr>
                      </pic:pic>
                    </a:graphicData>
                  </a:graphic>
                </wp:inline>
              </w:drawing>
            </w:r>
            <w:r w:rsidRPr="00B82DCA">
              <w:rPr>
                <w:rFonts w:ascii="Gill Sans MT" w:hAnsi="Gill Sans MT"/>
                <w:color w:val="auto"/>
                <w:sz w:val="18"/>
                <w:szCs w:val="18"/>
                <w:lang w:val="en-GB" w:eastAsia="en-GB"/>
              </w:rPr>
              <w:t>   </w:t>
            </w:r>
            <w:r w:rsidRPr="00B82DCA">
              <w:rPr>
                <w:rFonts w:ascii="Gill Sans MT" w:hAnsi="Gill Sans MT"/>
                <w:noProof/>
                <w:color w:val="auto"/>
                <w:sz w:val="18"/>
                <w:szCs w:val="18"/>
                <w:lang w:val="en-GB" w:eastAsia="en-GB"/>
              </w:rPr>
              <w:drawing>
                <wp:inline distT="0" distB="0" distL="0" distR="0" wp14:anchorId="29C310BB" wp14:editId="3B65A9EE">
                  <wp:extent cx="200025" cy="200025"/>
                  <wp:effectExtent l="0" t="0" r="9525" b="9525"/>
                  <wp:docPr id="16" name="Picture 16">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1" r:link="rId22">
                            <a:extLst>
                              <a:ext uri="{28A0092B-C50C-407E-A947-70E740481C1C}">
                                <a14:useLocalDpi xmlns:a14="http://schemas.microsoft.com/office/drawing/2010/main" val="0"/>
                              </a:ext>
                            </a:extLst>
                          </a:blip>
                          <a:srcRect/>
                          <a:stretch>
                            <a:fillRect/>
                          </a:stretch>
                        </pic:blipFill>
                        <pic:spPr bwMode="auto">
                          <a:xfrm>
                            <a:off x="0" y="0"/>
                            <a:ext cx="200025" cy="200025"/>
                          </a:xfrm>
                          <a:prstGeom prst="rect">
                            <a:avLst/>
                          </a:prstGeom>
                          <a:noFill/>
                          <a:ln>
                            <a:noFill/>
                          </a:ln>
                        </pic:spPr>
                      </pic:pic>
                    </a:graphicData>
                  </a:graphic>
                </wp:inline>
              </w:drawing>
            </w:r>
          </w:p>
        </w:tc>
      </w:tr>
    </w:tbl>
    <w:p w14:paraId="7AE93DC5" w14:textId="77777777" w:rsidR="00305099" w:rsidRPr="00305099" w:rsidRDefault="00B82DCA" w:rsidP="00B82DCA">
      <w:pPr>
        <w:pStyle w:val="01TESTO"/>
        <w:rPr>
          <w:rFonts w:ascii="Gill Sans MT" w:hAnsi="Gill Sans MT"/>
          <w:i/>
          <w:iCs/>
          <w:color w:val="auto"/>
          <w:sz w:val="16"/>
          <w:szCs w:val="16"/>
          <w:lang w:eastAsia="en-GB"/>
        </w:rPr>
      </w:pPr>
      <w:r w:rsidRPr="00305099">
        <w:rPr>
          <w:rFonts w:ascii="Gill Sans MT" w:hAnsi="Gill Sans MT"/>
          <w:i/>
          <w:iCs/>
          <w:color w:val="auto"/>
          <w:sz w:val="16"/>
          <w:szCs w:val="16"/>
          <w:lang w:eastAsia="en-GB"/>
        </w:rPr>
        <w:t xml:space="preserve">A propos de CASE Construction Equipment : CASE Construction Equipment vend et assure le service d’une gamme complète d’engins de chantier dans le monde </w:t>
      </w:r>
      <w:proofErr w:type="gramStart"/>
      <w:r w:rsidRPr="00305099">
        <w:rPr>
          <w:rFonts w:ascii="Gill Sans MT" w:hAnsi="Gill Sans MT"/>
          <w:i/>
          <w:iCs/>
          <w:color w:val="auto"/>
          <w:sz w:val="16"/>
          <w:szCs w:val="16"/>
          <w:lang w:eastAsia="en-GB"/>
        </w:rPr>
        <w:t>entier:</w:t>
      </w:r>
      <w:proofErr w:type="gramEnd"/>
      <w:r w:rsidRPr="00305099">
        <w:rPr>
          <w:rFonts w:ascii="Gill Sans MT" w:hAnsi="Gill Sans MT"/>
          <w:i/>
          <w:iCs/>
          <w:color w:val="auto"/>
          <w:sz w:val="16"/>
          <w:szCs w:val="16"/>
          <w:lang w:eastAsia="en-GB"/>
        </w:rPr>
        <w:t xml:space="preserve"> chargeuses-pelleteuses (leader sur le marché), pelles hydrauliques, niveleuses, chargeuses sur pneus, rouleaux vibrants, bouteurs, chargeuses compactes sur pneus et sur chenilles, chariots élévateurs. Dans les concessions CASE, les clients ont à leur disposition de véritables professionnels, qui leur proposent des équipements et un service après-vente de première classe, des garanties incomparables dans le secteur et des options de financement flexibles. </w:t>
      </w:r>
    </w:p>
    <w:p w14:paraId="000307A1" w14:textId="77777777" w:rsidR="00305099" w:rsidRPr="00305099" w:rsidRDefault="00305099" w:rsidP="00B82DCA">
      <w:pPr>
        <w:pStyle w:val="01TESTO"/>
        <w:rPr>
          <w:rFonts w:ascii="Gill Sans MT" w:hAnsi="Gill Sans MT"/>
          <w:i/>
          <w:iCs/>
          <w:color w:val="auto"/>
          <w:sz w:val="16"/>
          <w:szCs w:val="16"/>
          <w:lang w:eastAsia="en-GB"/>
        </w:rPr>
      </w:pPr>
    </w:p>
    <w:p w14:paraId="26498DD5" w14:textId="60F3B210" w:rsidR="00B82DCA" w:rsidRPr="00305099" w:rsidRDefault="00B82DCA" w:rsidP="00B82DCA">
      <w:pPr>
        <w:pStyle w:val="01TESTO"/>
        <w:rPr>
          <w:rFonts w:ascii="Gill Sans MT" w:hAnsi="Gill Sans MT"/>
          <w:i/>
          <w:iCs/>
          <w:color w:val="auto"/>
          <w:sz w:val="16"/>
          <w:szCs w:val="16"/>
          <w:lang w:eastAsia="en-GB"/>
        </w:rPr>
      </w:pPr>
      <w:r w:rsidRPr="00305099">
        <w:rPr>
          <w:rFonts w:ascii="Gill Sans MT" w:hAnsi="Gill Sans MT"/>
          <w:i/>
          <w:iCs/>
          <w:color w:val="auto"/>
          <w:sz w:val="16"/>
          <w:szCs w:val="16"/>
          <w:lang w:eastAsia="en-GB"/>
        </w:rPr>
        <w:t xml:space="preserve">Pour plus d’informations, rendez-vous sur </w:t>
      </w:r>
      <w:hyperlink r:id="rId23" w:history="1">
        <w:r w:rsidRPr="00305099">
          <w:rPr>
            <w:rStyle w:val="Hyperlink"/>
            <w:rFonts w:ascii="Gill Sans MT" w:hAnsi="Gill Sans MT"/>
            <w:i/>
            <w:iCs/>
            <w:sz w:val="16"/>
            <w:szCs w:val="16"/>
            <w:lang w:eastAsia="en-GB"/>
          </w:rPr>
          <w:t>www.CASEce.com</w:t>
        </w:r>
      </w:hyperlink>
      <w:r w:rsidRPr="00305099">
        <w:rPr>
          <w:rFonts w:ascii="Gill Sans MT" w:hAnsi="Gill Sans MT"/>
          <w:i/>
          <w:iCs/>
          <w:color w:val="auto"/>
          <w:sz w:val="16"/>
          <w:szCs w:val="16"/>
          <w:lang w:eastAsia="en-GB"/>
        </w:rPr>
        <w:t>. CASE Construction Equipment est une marque de CNH Industrial N.V., un leader mondial des biens d’équipement coté au New York Stock Exchange (NYSE</w:t>
      </w:r>
      <w:proofErr w:type="gramStart"/>
      <w:r w:rsidRPr="00305099">
        <w:rPr>
          <w:rFonts w:ascii="Gill Sans MT" w:hAnsi="Gill Sans MT"/>
          <w:i/>
          <w:iCs/>
          <w:color w:val="auto"/>
          <w:sz w:val="16"/>
          <w:szCs w:val="16"/>
          <w:lang w:eastAsia="en-GB"/>
        </w:rPr>
        <w:t> :CNHI</w:t>
      </w:r>
      <w:proofErr w:type="gramEnd"/>
      <w:r w:rsidRPr="00305099">
        <w:rPr>
          <w:rFonts w:ascii="Gill Sans MT" w:hAnsi="Gill Sans MT"/>
          <w:i/>
          <w:iCs/>
          <w:color w:val="auto"/>
          <w:sz w:val="16"/>
          <w:szCs w:val="16"/>
          <w:lang w:eastAsia="en-GB"/>
        </w:rPr>
        <w:t xml:space="preserve">) et au Mercato Telematico Azionario de la Bourse d’Italie (MI:CNHI). Davantage d’informations sur </w:t>
      </w:r>
      <w:hyperlink r:id="rId24" w:history="1">
        <w:r w:rsidRPr="00305099">
          <w:rPr>
            <w:rStyle w:val="Hyperlink"/>
            <w:rFonts w:ascii="Gill Sans MT" w:hAnsi="Gill Sans MT"/>
            <w:i/>
            <w:iCs/>
            <w:sz w:val="16"/>
            <w:szCs w:val="16"/>
            <w:lang w:eastAsia="en-GB"/>
          </w:rPr>
          <w:t>www.cnhindustrial.com</w:t>
        </w:r>
      </w:hyperlink>
      <w:r w:rsidRPr="00305099">
        <w:rPr>
          <w:rFonts w:ascii="Gill Sans MT" w:hAnsi="Gill Sans MT"/>
          <w:color w:val="auto"/>
          <w:sz w:val="16"/>
          <w:szCs w:val="16"/>
          <w:u w:val="single"/>
          <w:lang w:eastAsia="en-GB"/>
        </w:rPr>
        <w:t>.</w:t>
      </w:r>
    </w:p>
    <w:p w14:paraId="6ED2F1C7" w14:textId="77777777" w:rsidR="00B82DCA" w:rsidRPr="00B82DCA" w:rsidRDefault="00B82DCA" w:rsidP="00B82DCA">
      <w:pPr>
        <w:pStyle w:val="01TESTO"/>
        <w:rPr>
          <w:rFonts w:ascii="Gill Sans MT" w:hAnsi="Gill Sans MT"/>
          <w:i/>
          <w:iCs/>
          <w:color w:val="auto"/>
          <w:sz w:val="18"/>
          <w:szCs w:val="18"/>
          <w:lang w:eastAsia="en-GB"/>
        </w:rPr>
      </w:pPr>
    </w:p>
    <w:p w14:paraId="2D92517C" w14:textId="77777777" w:rsidR="00B82DCA" w:rsidRPr="002A3ADE" w:rsidRDefault="00B82DCA" w:rsidP="00B82DCA">
      <w:pPr>
        <w:pStyle w:val="01TESTO"/>
        <w:rPr>
          <w:rFonts w:ascii="Gill Sans MT" w:hAnsi="Gill Sans MT"/>
          <w:b/>
          <w:bCs/>
          <w:color w:val="auto"/>
          <w:szCs w:val="19"/>
          <w:lang w:eastAsia="en-GB"/>
        </w:rPr>
      </w:pPr>
      <w:r w:rsidRPr="002A3ADE">
        <w:rPr>
          <w:rFonts w:ascii="Gill Sans MT" w:hAnsi="Gill Sans MT"/>
          <w:b/>
          <w:bCs/>
          <w:color w:val="auto"/>
          <w:szCs w:val="19"/>
          <w:lang w:eastAsia="en-GB"/>
        </w:rPr>
        <w:t>Pour plus d'informations, merci de bien vouloir contacter notre service de presse :</w:t>
      </w:r>
    </w:p>
    <w:p w14:paraId="614CD4FE" w14:textId="77777777" w:rsidR="00B82DCA" w:rsidRPr="00305099" w:rsidRDefault="00B82DCA" w:rsidP="00B82DCA">
      <w:pPr>
        <w:pStyle w:val="01TESTO"/>
        <w:rPr>
          <w:rFonts w:ascii="Gill Sans MT" w:hAnsi="Gill Sans MT"/>
          <w:color w:val="auto"/>
          <w:sz w:val="18"/>
          <w:szCs w:val="18"/>
          <w:lang w:val="en-US" w:eastAsia="en-GB"/>
        </w:rPr>
      </w:pPr>
      <w:r w:rsidRPr="00305099">
        <w:rPr>
          <w:rFonts w:ascii="Gill Sans MT" w:hAnsi="Gill Sans MT"/>
          <w:color w:val="auto"/>
          <w:sz w:val="18"/>
          <w:szCs w:val="18"/>
          <w:lang w:val="en-US" w:eastAsia="en-GB"/>
        </w:rPr>
        <w:t>Mélanie Japaud – Copestone pour CASE Construction Equipment</w:t>
      </w:r>
    </w:p>
    <w:p w14:paraId="5B93F109" w14:textId="77777777" w:rsidR="00B82DCA" w:rsidRPr="00305099" w:rsidRDefault="00B82DCA" w:rsidP="00B82DCA">
      <w:pPr>
        <w:pStyle w:val="01TESTO"/>
        <w:rPr>
          <w:rFonts w:ascii="Gill Sans MT" w:hAnsi="Gill Sans MT"/>
          <w:color w:val="auto"/>
          <w:sz w:val="18"/>
          <w:szCs w:val="18"/>
          <w:lang w:eastAsia="en-GB"/>
        </w:rPr>
      </w:pPr>
      <w:r w:rsidRPr="00305099">
        <w:rPr>
          <w:rFonts w:ascii="Gill Sans MT" w:hAnsi="Gill Sans MT"/>
          <w:color w:val="auto"/>
          <w:sz w:val="18"/>
          <w:szCs w:val="18"/>
          <w:lang w:eastAsia="en-GB"/>
        </w:rPr>
        <w:t xml:space="preserve">+33 6 59 47 29 43 - </w:t>
      </w:r>
      <w:hyperlink r:id="rId25" w:history="1">
        <w:r w:rsidRPr="00305099">
          <w:rPr>
            <w:rStyle w:val="Hyperlink"/>
            <w:rFonts w:ascii="Gill Sans MT" w:hAnsi="Gill Sans MT"/>
            <w:sz w:val="18"/>
            <w:szCs w:val="18"/>
            <w:lang w:eastAsia="en-GB"/>
          </w:rPr>
          <w:t>melanie@copestone.uk.com</w:t>
        </w:r>
      </w:hyperlink>
      <w:r w:rsidRPr="00305099">
        <w:rPr>
          <w:rFonts w:ascii="Gill Sans MT" w:hAnsi="Gill Sans MT"/>
          <w:color w:val="auto"/>
          <w:sz w:val="18"/>
          <w:szCs w:val="18"/>
          <w:lang w:eastAsia="en-GB"/>
        </w:rPr>
        <w:t xml:space="preserve">   </w:t>
      </w:r>
    </w:p>
    <w:p w14:paraId="2079D58E" w14:textId="77777777" w:rsidR="00094788" w:rsidRPr="0042644B" w:rsidRDefault="00094788" w:rsidP="00094788">
      <w:pPr>
        <w:pStyle w:val="01TESTO"/>
        <w:rPr>
          <w:rFonts w:ascii="Gill Sans MT" w:hAnsi="Gill Sans MT"/>
          <w:b/>
          <w:szCs w:val="19"/>
        </w:rPr>
      </w:pPr>
    </w:p>
    <w:p w14:paraId="7D02698C" w14:textId="77777777" w:rsidR="00094788" w:rsidRPr="0042644B" w:rsidRDefault="00094788" w:rsidP="00094788">
      <w:pPr>
        <w:widowControl w:val="0"/>
        <w:autoSpaceDE w:val="0"/>
        <w:autoSpaceDN w:val="0"/>
        <w:adjustRightInd w:val="0"/>
        <w:spacing w:line="360" w:lineRule="auto"/>
        <w:rPr>
          <w:rFonts w:ascii="Gill Sans MT" w:hAnsi="Gill Sans MT"/>
        </w:rPr>
      </w:pPr>
    </w:p>
    <w:p w14:paraId="62A9E366" w14:textId="77777777" w:rsidR="003452F5" w:rsidRPr="0042644B" w:rsidRDefault="003452F5">
      <w:pPr>
        <w:rPr>
          <w:rFonts w:ascii="Gill Sans MT" w:hAnsi="Gill Sans MT"/>
        </w:rPr>
      </w:pPr>
    </w:p>
    <w:sectPr w:rsidR="003452F5" w:rsidRPr="0042644B" w:rsidSect="006941EF">
      <w:headerReference w:type="even" r:id="rId26"/>
      <w:headerReference w:type="default" r:id="rId27"/>
      <w:footerReference w:type="even" r:id="rId28"/>
      <w:footerReference w:type="default" r:id="rId29"/>
      <w:headerReference w:type="first" r:id="rId30"/>
      <w:footerReference w:type="first" r:id="rId31"/>
      <w:pgSz w:w="12240" w:h="15840"/>
      <w:pgMar w:top="1980" w:right="851" w:bottom="1440" w:left="2552" w:header="540" w:footer="567"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B8FFB89" w14:textId="77777777" w:rsidR="00403B7C" w:rsidRDefault="00403B7C">
      <w:pPr>
        <w:spacing w:after="0" w:line="240" w:lineRule="auto"/>
      </w:pPr>
      <w:r>
        <w:separator/>
      </w:r>
    </w:p>
  </w:endnote>
  <w:endnote w:type="continuationSeparator" w:id="0">
    <w:p w14:paraId="646C4FA5" w14:textId="77777777" w:rsidR="00403B7C" w:rsidRDefault="00403B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185E599" w14:textId="77777777" w:rsidR="00365239" w:rsidRDefault="0036523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03AC28" w14:textId="77777777" w:rsidR="00C11491" w:rsidRDefault="00AF29C5" w:rsidP="00842584">
    <w:pPr>
      <w:pStyle w:val="Footer"/>
    </w:pPr>
  </w:p>
  <w:p w14:paraId="31F029F6" w14:textId="77777777" w:rsidR="00C11491" w:rsidRDefault="00AF29C5" w:rsidP="00842584">
    <w:pPr>
      <w:pStyle w:val="Footer"/>
    </w:pPr>
  </w:p>
  <w:p w14:paraId="65869B61" w14:textId="77777777" w:rsidR="00C11491" w:rsidRDefault="00AF29C5" w:rsidP="00842584">
    <w:pPr>
      <w:pStyle w:val="Footer"/>
    </w:pPr>
  </w:p>
  <w:p w14:paraId="7803D058" w14:textId="77777777" w:rsidR="00C11491" w:rsidRDefault="00AF29C5" w:rsidP="0084258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777985" w14:textId="77777777" w:rsidR="00C11491" w:rsidRPr="00C7201A" w:rsidRDefault="00AF29C5" w:rsidP="00842584">
    <w:pPr>
      <w:pStyle w:val="04FOOTER"/>
      <w:framePr w:w="182" w:h="177" w:hRule="exact" w:wrap="around" w:vAnchor="page" w:hAnchor="page" w:x="442" w:y="1638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7D3656B" w14:textId="77777777" w:rsidR="00403B7C" w:rsidRDefault="00403B7C">
      <w:pPr>
        <w:spacing w:after="0" w:line="240" w:lineRule="auto"/>
      </w:pPr>
      <w:r>
        <w:separator/>
      </w:r>
    </w:p>
  </w:footnote>
  <w:footnote w:type="continuationSeparator" w:id="0">
    <w:p w14:paraId="7CEEDF1E" w14:textId="77777777" w:rsidR="00403B7C" w:rsidRDefault="00403B7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664E57" w14:textId="77777777" w:rsidR="00365239" w:rsidRDefault="0036523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980C34" w14:textId="77777777" w:rsidR="00C11491" w:rsidRDefault="007A2771" w:rsidP="00842584">
    <w:r>
      <w:rPr>
        <w:noProof/>
        <w:lang w:eastAsia="fr-FR"/>
      </w:rPr>
      <w:drawing>
        <wp:anchor distT="0" distB="0" distL="114300" distR="114300" simplePos="0" relativeHeight="251663360" behindDoc="1" locked="0" layoutInCell="1" allowOverlap="1" wp14:anchorId="56ED3E4E" wp14:editId="667C175E">
          <wp:simplePos x="0" y="0"/>
          <wp:positionH relativeFrom="margin">
            <wp:posOffset>-1352550</wp:posOffset>
          </wp:positionH>
          <wp:positionV relativeFrom="margin">
            <wp:posOffset>-1197610</wp:posOffset>
          </wp:positionV>
          <wp:extent cx="1236345" cy="444500"/>
          <wp:effectExtent l="0" t="0" r="8255" b="12700"/>
          <wp:wrapNone/>
          <wp:docPr id="7" name="Picture 3"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pPr w:vertAnchor="page" w:horzAnchor="page" w:tblpX="2553" w:tblpY="14403"/>
      <w:tblW w:w="5449" w:type="dxa"/>
      <w:tblCellMar>
        <w:left w:w="0" w:type="dxa"/>
        <w:right w:w="0" w:type="dxa"/>
      </w:tblCellMar>
      <w:tblLook w:val="00A0" w:firstRow="1" w:lastRow="0" w:firstColumn="1" w:lastColumn="0" w:noHBand="0" w:noVBand="0"/>
    </w:tblPr>
    <w:tblGrid>
      <w:gridCol w:w="2614"/>
      <w:gridCol w:w="2835"/>
    </w:tblGrid>
    <w:tr w:rsidR="00C11491" w:rsidRPr="00C7201A" w14:paraId="0801C9B0" w14:textId="77777777">
      <w:trPr>
        <w:trHeight w:val="735"/>
      </w:trPr>
      <w:tc>
        <w:tcPr>
          <w:tcW w:w="2614" w:type="dxa"/>
          <w:shd w:val="clear" w:color="auto" w:fill="auto"/>
          <w:vAlign w:val="bottom"/>
        </w:tcPr>
        <w:p w14:paraId="133F3E8F" w14:textId="77777777" w:rsidR="00C11491" w:rsidRPr="00293E17" w:rsidRDefault="00AF29C5" w:rsidP="00842584">
          <w:pPr>
            <w:pStyle w:val="04FOOTER"/>
            <w:ind w:right="-101"/>
          </w:pPr>
        </w:p>
      </w:tc>
      <w:tc>
        <w:tcPr>
          <w:tcW w:w="2835" w:type="dxa"/>
        </w:tcPr>
        <w:p w14:paraId="7C4FA7A5" w14:textId="77777777" w:rsidR="00C11491" w:rsidRDefault="00AF29C5" w:rsidP="00842584">
          <w:pPr>
            <w:pStyle w:val="04FOOTER"/>
            <w:ind w:right="-101"/>
          </w:pPr>
        </w:p>
        <w:p w14:paraId="16DF71E2" w14:textId="77777777" w:rsidR="00C11491" w:rsidRDefault="00AF29C5" w:rsidP="00842584">
          <w:pPr>
            <w:pStyle w:val="04FOOTER"/>
            <w:ind w:right="-101"/>
          </w:pPr>
        </w:p>
        <w:p w14:paraId="1520B835" w14:textId="77777777" w:rsidR="00C11491" w:rsidRDefault="00AF29C5" w:rsidP="00842584">
          <w:pPr>
            <w:pStyle w:val="04FOOTER"/>
            <w:ind w:right="-101"/>
          </w:pPr>
        </w:p>
        <w:p w14:paraId="23477936" w14:textId="77777777" w:rsidR="00C11491" w:rsidRPr="00293E17" w:rsidRDefault="00AF29C5" w:rsidP="00842584">
          <w:pPr>
            <w:pStyle w:val="04FOOTER"/>
            <w:ind w:right="-101"/>
          </w:pPr>
        </w:p>
      </w:tc>
    </w:tr>
  </w:tbl>
  <w:p w14:paraId="47A319D6" w14:textId="77777777" w:rsidR="00C11491" w:rsidRPr="002C48D5" w:rsidRDefault="007A2771" w:rsidP="00842584">
    <w:pPr>
      <w:rPr>
        <w:rFonts w:ascii="Times New Roman" w:hAnsi="Times New Roman"/>
        <w:snapToGrid w:val="0"/>
        <w:vanish/>
        <w:w w:val="0"/>
        <w:sz w:val="0"/>
        <w:szCs w:val="0"/>
        <w:u w:color="000000"/>
        <w:bdr w:val="none" w:sz="0" w:space="0" w:color="000000"/>
        <w:shd w:val="clear" w:color="000000" w:fill="000000"/>
      </w:rPr>
    </w:pPr>
    <w:r>
      <w:rPr>
        <w:noProof/>
        <w:lang w:eastAsia="fr-FR"/>
      </w:rPr>
      <w:drawing>
        <wp:anchor distT="0" distB="0" distL="114300" distR="114300" simplePos="0" relativeHeight="251662336" behindDoc="1" locked="0" layoutInCell="1" allowOverlap="1" wp14:anchorId="4199539B" wp14:editId="32292EB6">
          <wp:simplePos x="0" y="0"/>
          <wp:positionH relativeFrom="margin">
            <wp:posOffset>-1340485</wp:posOffset>
          </wp:positionH>
          <wp:positionV relativeFrom="margin">
            <wp:posOffset>-1083310</wp:posOffset>
          </wp:positionV>
          <wp:extent cx="1236345" cy="444500"/>
          <wp:effectExtent l="0" t="0" r="8255" b="12700"/>
          <wp:wrapNone/>
          <wp:docPr id="8" name="Picture 58"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fr-FR"/>
      </w:rPr>
      <w:drawing>
        <wp:anchor distT="0" distB="0" distL="114300" distR="114300" simplePos="0" relativeHeight="251664384" behindDoc="1" locked="0" layoutInCell="1" allowOverlap="1" wp14:anchorId="70F1C7F1" wp14:editId="069061DD">
          <wp:simplePos x="0" y="0"/>
          <wp:positionH relativeFrom="column">
            <wp:posOffset>-996950</wp:posOffset>
          </wp:positionH>
          <wp:positionV relativeFrom="page">
            <wp:posOffset>4345940</wp:posOffset>
          </wp:positionV>
          <wp:extent cx="387350" cy="3239135"/>
          <wp:effectExtent l="0" t="0" r="0" b="12065"/>
          <wp:wrapNone/>
          <wp:docPr id="9" name="Immagine 50" descr="PressRelease-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0" descr="PressRelease-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87350" cy="32391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72309B9" w14:textId="77777777" w:rsidR="00C11491" w:rsidRDefault="007A2771" w:rsidP="00842584">
    <w:r>
      <w:rPr>
        <w:noProof/>
        <w:lang w:eastAsia="fr-FR"/>
      </w:rPr>
      <w:drawing>
        <wp:anchor distT="0" distB="0" distL="114300" distR="114300" simplePos="0" relativeHeight="251661312" behindDoc="1" locked="0" layoutInCell="1" allowOverlap="1" wp14:anchorId="6C0711C1" wp14:editId="66411B56">
          <wp:simplePos x="0" y="0"/>
          <wp:positionH relativeFrom="column">
            <wp:posOffset>-1096645</wp:posOffset>
          </wp:positionH>
          <wp:positionV relativeFrom="paragraph">
            <wp:posOffset>3240405</wp:posOffset>
          </wp:positionV>
          <wp:extent cx="622300" cy="368300"/>
          <wp:effectExtent l="0" t="0" r="12700" b="12700"/>
          <wp:wrapNone/>
          <wp:docPr id="10" name="Picture 10" descr="C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NH"/>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22300" cy="368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fr-FR"/>
      </w:rPr>
      <mc:AlternateContent>
        <mc:Choice Requires="wps">
          <w:drawing>
            <wp:anchor distT="4294967294" distB="4294967294" distL="114300" distR="114300" simplePos="0" relativeHeight="251660288" behindDoc="0" locked="0" layoutInCell="1" allowOverlap="1" wp14:anchorId="6AC2A6C1" wp14:editId="48842543">
              <wp:simplePos x="0" y="0"/>
              <wp:positionH relativeFrom="column">
                <wp:posOffset>-1944370</wp:posOffset>
              </wp:positionH>
              <wp:positionV relativeFrom="page">
                <wp:posOffset>3359149</wp:posOffset>
              </wp:positionV>
              <wp:extent cx="685800" cy="0"/>
              <wp:effectExtent l="0" t="0" r="25400" b="25400"/>
              <wp:wrapNone/>
              <wp:docPr id="5"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1397">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19EC68" id="Line 35" o:spid="_x0000_s1026" style="position:absolute;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page;mso-width-percent:0;mso-height-percent:0;mso-width-relative:page;mso-height-relative:page" from="-153.1pt,264.5pt" to="-99.1pt,2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" strokeweight=".11pt">
              <w10:wrap anchory="page"/>
            </v:line>
          </w:pict>
        </mc:Fallback>
      </mc:AlternateContent>
    </w:r>
    <w:r>
      <w:rPr>
        <w:noProof/>
        <w:lang w:eastAsia="fr-FR"/>
      </w:rPr>
      <mc:AlternateContent>
        <mc:Choice Requires="wps">
          <w:drawing>
            <wp:anchor distT="4294967294" distB="4294967294" distL="114300" distR="114300" simplePos="0" relativeHeight="251659264" behindDoc="0" locked="0" layoutInCell="1" allowOverlap="1" wp14:anchorId="10964B71" wp14:editId="70D8E831">
              <wp:simplePos x="0" y="0"/>
              <wp:positionH relativeFrom="column">
                <wp:posOffset>-635</wp:posOffset>
              </wp:positionH>
              <wp:positionV relativeFrom="paragraph">
                <wp:posOffset>455294</wp:posOffset>
              </wp:positionV>
              <wp:extent cx="7086600" cy="0"/>
              <wp:effectExtent l="0" t="0" r="25400" b="25400"/>
              <wp:wrapNone/>
              <wp:docPr id="6"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86600" cy="0"/>
                      </a:xfrm>
                      <a:prstGeom prst="line">
                        <a:avLst/>
                      </a:prstGeom>
                      <a:noFill/>
                      <a:ln w="1346">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FED25A7" id="Line 34" o:spid="_x0000_s1026" style="position:absolute;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05pt,35.85pt" to="557.95pt,3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" strokeweight=".03739mm"/>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3FC6807"/>
    <w:multiLevelType w:val="hybridMultilevel"/>
    <w:tmpl w:val="55725A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DExNLO0MDQwNDEwN7ZQ0lEKTi0uzszPAykwrAUAFT0BMiwAAAA="/>
  </w:docVars>
  <w:rsids>
    <w:rsidRoot w:val="00094788"/>
    <w:rsid w:val="00094788"/>
    <w:rsid w:val="000D137D"/>
    <w:rsid w:val="00166B65"/>
    <w:rsid w:val="001F1CF7"/>
    <w:rsid w:val="002A05B1"/>
    <w:rsid w:val="002A3ADE"/>
    <w:rsid w:val="002F5CA5"/>
    <w:rsid w:val="00305099"/>
    <w:rsid w:val="003330ED"/>
    <w:rsid w:val="003452F5"/>
    <w:rsid w:val="00365239"/>
    <w:rsid w:val="00381360"/>
    <w:rsid w:val="00403B7C"/>
    <w:rsid w:val="0042644B"/>
    <w:rsid w:val="004428B5"/>
    <w:rsid w:val="00447661"/>
    <w:rsid w:val="00494FE6"/>
    <w:rsid w:val="004A719C"/>
    <w:rsid w:val="004F1AA1"/>
    <w:rsid w:val="005F6730"/>
    <w:rsid w:val="00621BFC"/>
    <w:rsid w:val="00682693"/>
    <w:rsid w:val="006B7B0D"/>
    <w:rsid w:val="00771211"/>
    <w:rsid w:val="007A2771"/>
    <w:rsid w:val="00815CD3"/>
    <w:rsid w:val="009120E1"/>
    <w:rsid w:val="009666D1"/>
    <w:rsid w:val="009A2413"/>
    <w:rsid w:val="00A27749"/>
    <w:rsid w:val="00A57F14"/>
    <w:rsid w:val="00AF29C5"/>
    <w:rsid w:val="00B82DCA"/>
    <w:rsid w:val="00D27B03"/>
    <w:rsid w:val="00DA34D9"/>
    <w:rsid w:val="00E5556D"/>
    <w:rsid w:val="00EB364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482E08"/>
  <w15:chartTrackingRefBased/>
  <w15:docId w15:val="{7C8D285C-60F7-4141-B9AF-0E1E41BFDC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nhideWhenUsed/>
    <w:rsid w:val="00094788"/>
    <w:pPr>
      <w:tabs>
        <w:tab w:val="center" w:pos="4819"/>
        <w:tab w:val="right" w:pos="9638"/>
      </w:tabs>
      <w:spacing w:after="0" w:line="240" w:lineRule="auto"/>
    </w:pPr>
    <w:rPr>
      <w:rFonts w:eastAsiaTheme="minorEastAsia"/>
      <w:lang w:eastAsia="zh-CN"/>
    </w:rPr>
  </w:style>
  <w:style w:type="character" w:customStyle="1" w:styleId="FooterChar">
    <w:name w:val="Footer Char"/>
    <w:basedOn w:val="DefaultParagraphFont"/>
    <w:link w:val="Footer"/>
    <w:rsid w:val="00094788"/>
    <w:rPr>
      <w:rFonts w:eastAsiaTheme="minorEastAsia"/>
      <w:lang w:val="fr-FR" w:eastAsia="zh-CN"/>
    </w:rPr>
  </w:style>
  <w:style w:type="paragraph" w:customStyle="1" w:styleId="04FOOTER">
    <w:name w:val="04_FOOTER"/>
    <w:basedOn w:val="Normal"/>
    <w:rsid w:val="00094788"/>
    <w:pPr>
      <w:spacing w:after="0" w:line="160" w:lineRule="exact"/>
    </w:pPr>
    <w:rPr>
      <w:rFonts w:ascii="Arial" w:eastAsia="Times New Roman" w:hAnsi="Arial" w:cs="Times New Roman"/>
      <w:color w:val="000000"/>
      <w:sz w:val="14"/>
      <w:szCs w:val="20"/>
      <w:lang w:eastAsia="it-IT"/>
    </w:rPr>
  </w:style>
  <w:style w:type="character" w:styleId="Hyperlink">
    <w:name w:val="Hyperlink"/>
    <w:unhideWhenUsed/>
    <w:rsid w:val="00094788"/>
    <w:rPr>
      <w:color w:val="0000FF"/>
      <w:u w:val="single"/>
    </w:rPr>
  </w:style>
  <w:style w:type="character" w:customStyle="1" w:styleId="s17">
    <w:name w:val="s17"/>
    <w:basedOn w:val="DefaultParagraphFont"/>
    <w:rsid w:val="00094788"/>
  </w:style>
  <w:style w:type="paragraph" w:customStyle="1" w:styleId="01TESTO">
    <w:name w:val="01_TESTO"/>
    <w:basedOn w:val="Normal"/>
    <w:rsid w:val="00094788"/>
    <w:pPr>
      <w:spacing w:after="0" w:line="300" w:lineRule="exact"/>
    </w:pPr>
    <w:rPr>
      <w:rFonts w:ascii="Arial" w:eastAsia="Times New Roman" w:hAnsi="Arial" w:cs="Times New Roman"/>
      <w:color w:val="000000"/>
      <w:sz w:val="19"/>
      <w:szCs w:val="20"/>
      <w:lang w:eastAsia="it-IT"/>
    </w:rPr>
  </w:style>
  <w:style w:type="paragraph" w:styleId="HTMLPreformatted">
    <w:name w:val="HTML Preformatted"/>
    <w:basedOn w:val="Normal"/>
    <w:link w:val="HTMLPreformattedChar"/>
    <w:uiPriority w:val="99"/>
    <w:semiHidden/>
    <w:unhideWhenUsed/>
    <w:rsid w:val="000947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094788"/>
    <w:rPr>
      <w:rFonts w:ascii="Courier New" w:eastAsia="Times New Roman" w:hAnsi="Courier New" w:cs="Courier New"/>
      <w:sz w:val="20"/>
      <w:szCs w:val="20"/>
      <w:lang w:eastAsia="en-GB"/>
    </w:rPr>
  </w:style>
  <w:style w:type="paragraph" w:styleId="BalloonText">
    <w:name w:val="Balloon Text"/>
    <w:basedOn w:val="Normal"/>
    <w:link w:val="BalloonTextChar"/>
    <w:uiPriority w:val="99"/>
    <w:semiHidden/>
    <w:unhideWhenUsed/>
    <w:rsid w:val="002A05B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A05B1"/>
    <w:rPr>
      <w:rFonts w:ascii="Segoe UI" w:hAnsi="Segoe UI" w:cs="Segoe UI"/>
      <w:sz w:val="18"/>
      <w:szCs w:val="18"/>
    </w:rPr>
  </w:style>
  <w:style w:type="paragraph" w:styleId="ListParagraph">
    <w:name w:val="List Paragraph"/>
    <w:basedOn w:val="Normal"/>
    <w:uiPriority w:val="34"/>
    <w:qFormat/>
    <w:rsid w:val="002A05B1"/>
    <w:pPr>
      <w:spacing w:after="0" w:line="240" w:lineRule="auto"/>
      <w:ind w:left="720"/>
      <w:contextualSpacing/>
    </w:pPr>
    <w:rPr>
      <w:rFonts w:ascii="Calibri" w:eastAsia="Calibri" w:hAnsi="Calibri" w:cs="Times New Roman"/>
    </w:rPr>
  </w:style>
  <w:style w:type="character" w:styleId="CommentReference">
    <w:name w:val="annotation reference"/>
    <w:rsid w:val="002A05B1"/>
    <w:rPr>
      <w:sz w:val="16"/>
      <w:szCs w:val="16"/>
    </w:rPr>
  </w:style>
  <w:style w:type="paragraph" w:styleId="CommentText">
    <w:name w:val="annotation text"/>
    <w:basedOn w:val="Normal"/>
    <w:link w:val="CommentTextChar"/>
    <w:rsid w:val="002A05B1"/>
    <w:pPr>
      <w:spacing w:after="0" w:line="300" w:lineRule="exact"/>
    </w:pPr>
    <w:rPr>
      <w:rFonts w:ascii="Gill Sans MT" w:eastAsia="Times New Roman" w:hAnsi="Gill Sans MT" w:cs="Times New Roman"/>
      <w:color w:val="000000"/>
      <w:sz w:val="20"/>
      <w:szCs w:val="20"/>
      <w:lang w:eastAsia="it-IT"/>
    </w:rPr>
  </w:style>
  <w:style w:type="character" w:customStyle="1" w:styleId="CommentTextChar">
    <w:name w:val="Comment Text Char"/>
    <w:basedOn w:val="DefaultParagraphFont"/>
    <w:link w:val="CommentText"/>
    <w:rsid w:val="002A05B1"/>
    <w:rPr>
      <w:rFonts w:ascii="Gill Sans MT" w:eastAsia="Times New Roman" w:hAnsi="Gill Sans MT" w:cs="Times New Roman"/>
      <w:color w:val="000000"/>
      <w:sz w:val="20"/>
      <w:szCs w:val="20"/>
      <w:lang w:val="fr-FR" w:eastAsia="it-IT"/>
    </w:rPr>
  </w:style>
  <w:style w:type="paragraph" w:styleId="Header">
    <w:name w:val="header"/>
    <w:basedOn w:val="Normal"/>
    <w:link w:val="HeaderChar"/>
    <w:uiPriority w:val="99"/>
    <w:unhideWhenUsed/>
    <w:rsid w:val="00365239"/>
    <w:pPr>
      <w:tabs>
        <w:tab w:val="center" w:pos="4536"/>
        <w:tab w:val="right" w:pos="9072"/>
      </w:tabs>
      <w:spacing w:after="0" w:line="240" w:lineRule="auto"/>
    </w:pPr>
  </w:style>
  <w:style w:type="character" w:customStyle="1" w:styleId="HeaderChar">
    <w:name w:val="Header Char"/>
    <w:basedOn w:val="DefaultParagraphFont"/>
    <w:link w:val="Header"/>
    <w:uiPriority w:val="99"/>
    <w:rsid w:val="00365239"/>
  </w:style>
  <w:style w:type="character" w:customStyle="1" w:styleId="normaltextrun">
    <w:name w:val="normaltextrun"/>
    <w:basedOn w:val="DefaultParagraphFont"/>
    <w:rsid w:val="002F5CA5"/>
  </w:style>
  <w:style w:type="character" w:customStyle="1" w:styleId="eop">
    <w:name w:val="eop"/>
    <w:basedOn w:val="DefaultParagraphFont"/>
    <w:rsid w:val="002F5C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cid:image001.png@01D59BAD.3CC35760" TargetMode="External"/><Relationship Id="rId18" Type="http://schemas.openxmlformats.org/officeDocument/2006/relationships/image" Target="media/image3.gif"/><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image" Target="media/image4.gif"/><Relationship Id="rId7" Type="http://schemas.openxmlformats.org/officeDocument/2006/relationships/webSettings" Target="webSettings.xml"/><Relationship Id="rId12" Type="http://schemas.openxmlformats.org/officeDocument/2006/relationships/image" Target="media/image1.gif"/><Relationship Id="rId17" Type="http://schemas.openxmlformats.org/officeDocument/2006/relationships/hyperlink" Target="https://www.youtube.com/user/Caseatwork" TargetMode="External"/><Relationship Id="rId25" Type="http://schemas.openxmlformats.org/officeDocument/2006/relationships/hyperlink" Target="mailto:melanie@copestone.uk.com"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cid:image003.png@01D59BAD.3CC35760" TargetMode="External"/><Relationship Id="rId20" Type="http://schemas.openxmlformats.org/officeDocument/2006/relationships/hyperlink" Target="https://www.linkedin.com/company/case-construction-equipment" TargetMode="External"/><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facebook.com/caseconstructionequipment" TargetMode="External"/><Relationship Id="rId24" Type="http://schemas.openxmlformats.org/officeDocument/2006/relationships/hyperlink" Target="http://www.cnhindustrial.com" TargetMode="External"/><Relationship Id="rId32"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image" Target="media/image2.gif"/><Relationship Id="rId23" Type="http://schemas.openxmlformats.org/officeDocument/2006/relationships/hyperlink" Target="http://www.CASEce.com" TargetMode="External"/><Relationship Id="rId28" Type="http://schemas.openxmlformats.org/officeDocument/2006/relationships/footer" Target="footer1.xml"/><Relationship Id="rId10" Type="http://schemas.openxmlformats.org/officeDocument/2006/relationships/hyperlink" Target="http://www.casecetools.com/press-kit" TargetMode="External"/><Relationship Id="rId19" Type="http://schemas.openxmlformats.org/officeDocument/2006/relationships/image" Target="cid:image005.png@01D59BAD.3CC35760" TargetMode="External"/><Relationship Id="rId31" Type="http://schemas.openxmlformats.org/officeDocument/2006/relationships/footer" Target="footer3.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twitter.com/#!/casece" TargetMode="External"/><Relationship Id="rId22" Type="http://schemas.openxmlformats.org/officeDocument/2006/relationships/image" Target="cid:image006.png@01D59BAD.3CC35760" TargetMode="External"/><Relationship Id="rId27" Type="http://schemas.openxmlformats.org/officeDocument/2006/relationships/header" Target="header2.xml"/><Relationship Id="rId30" Type="http://schemas.openxmlformats.org/officeDocument/2006/relationships/header" Target="header3.xml"/><Relationship Id="rId8" Type="http://schemas.openxmlformats.org/officeDocument/2006/relationships/footnotes" Target="footnotes.xml"/></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_rels/header3.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E84E073D418E04D82F7095C75FFCCF4" ma:contentTypeVersion="13" ma:contentTypeDescription="Create a new document." ma:contentTypeScope="" ma:versionID="d94ce01d13cf6aeed9d78da34379a75c">
  <xsd:schema xmlns:xsd="http://www.w3.org/2001/XMLSchema" xmlns:xs="http://www.w3.org/2001/XMLSchema" xmlns:p="http://schemas.microsoft.com/office/2006/metadata/properties" xmlns:ns2="ae82bc55-adb9-499f-a89d-8cc34ff9b62e" xmlns:ns3="ee50a320-7cab-480e-8dab-74586aaed348" targetNamespace="http://schemas.microsoft.com/office/2006/metadata/properties" ma:root="true" ma:fieldsID="d592912916fc60b2444693f9b198fca1" ns2:_="" ns3:_="">
    <xsd:import namespace="ae82bc55-adb9-499f-a89d-8cc34ff9b62e"/>
    <xsd:import namespace="ee50a320-7cab-480e-8dab-74586aaed34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Location" minOccurs="0"/>
                <xsd:element ref="ns2:MediaServiceOCR"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82bc55-adb9-499f-a89d-8cc34ff9b62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Sign-off status" ma:internalName="Sign_x002d_off_x0020_status">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50a320-7cab-480e-8dab-74586aaed348"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Flow_SignoffStatus xmlns="ae82bc55-adb9-499f-a89d-8cc34ff9b62e" xsi:nil="true"/>
    <SharedWithUsers xmlns="ee50a320-7cab-480e-8dab-74586aaed348">
      <UserInfo>
        <DisplayName>Rakhee Rathod</DisplayName>
        <AccountId>55</AccountId>
        <AccountType/>
      </UserInfo>
      <UserInfo>
        <DisplayName>Audrey Shulman</DisplayName>
        <AccountId>23</AccountId>
        <AccountType/>
      </UserInfo>
      <UserInfo>
        <DisplayName>Pete Bayliss</DisplayName>
        <AccountId>22</AccountId>
        <AccountType/>
      </UserInfo>
    </SharedWithUsers>
  </documentManagement>
</p:properties>
</file>

<file path=customXml/itemProps1.xml><?xml version="1.0" encoding="utf-8"?>
<ds:datastoreItem xmlns:ds="http://schemas.openxmlformats.org/officeDocument/2006/customXml" ds:itemID="{004A8A70-66EB-4BC0-B12E-F6F7B471C4F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82bc55-adb9-499f-a89d-8cc34ff9b62e"/>
    <ds:schemaRef ds:uri="ee50a320-7cab-480e-8dab-74586aaed34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2B52CC4-93EA-4EE4-8018-56BF4C08397C}">
  <ds:schemaRefs>
    <ds:schemaRef ds:uri="http://schemas.microsoft.com/sharepoint/v3/contenttype/forms"/>
  </ds:schemaRefs>
</ds:datastoreItem>
</file>

<file path=customXml/itemProps3.xml><?xml version="1.0" encoding="utf-8"?>
<ds:datastoreItem xmlns:ds="http://schemas.openxmlformats.org/officeDocument/2006/customXml" ds:itemID="{DA7DC714-75D3-4383-80A7-A16D2D1EC0DE}">
  <ds:schemaRefs>
    <ds:schemaRef ds:uri="http://schemas.microsoft.com/office/2006/documentManagement/types"/>
    <ds:schemaRef ds:uri="http://www.w3.org/XML/1998/namespace"/>
    <ds:schemaRef ds:uri="http://purl.org/dc/dcmitype/"/>
    <ds:schemaRef ds:uri="http://schemas.openxmlformats.org/package/2006/metadata/core-properties"/>
    <ds:schemaRef ds:uri="http://purl.org/dc/terms/"/>
    <ds:schemaRef ds:uri="http://schemas.microsoft.com/office/infopath/2007/PartnerControls"/>
    <ds:schemaRef ds:uri="http://purl.org/dc/elements/1.1/"/>
    <ds:schemaRef ds:uri="ee50a320-7cab-480e-8dab-74586aaed348"/>
    <ds:schemaRef ds:uri="ae82bc55-adb9-499f-a89d-8cc34ff9b62e"/>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832</Words>
  <Characters>4748</Characters>
  <Application>Microsoft Office Word</Application>
  <DocSecurity>0</DocSecurity>
  <Lines>39</Lines>
  <Paragraphs>11</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Oddie</dc:creator>
  <cp:keywords/>
  <dc:description/>
  <cp:lastModifiedBy>Brad Kilner</cp:lastModifiedBy>
  <cp:revision>10</cp:revision>
  <dcterms:created xsi:type="dcterms:W3CDTF">2020-07-15T11:33:00Z</dcterms:created>
  <dcterms:modified xsi:type="dcterms:W3CDTF">2020-07-20T08:23:00Z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0x0101009E84E073D418E04D82F7095C75FFCCF4</vt:lpwstr>
  </property>
</Properties>
</file>