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29F4B7" w14:textId="47173D83" w:rsidR="00747590" w:rsidRDefault="009651BA" w:rsidP="00747590">
      <w:pPr>
        <w:spacing w:line="276" w:lineRule="auto"/>
        <w:rPr>
          <w:rFonts w:ascii="Gill Sans MT" w:hAnsi="Gill Sans MT" w:cs="Arial"/>
          <w:b/>
          <w:bCs/>
          <w:sz w:val="28"/>
          <w:szCs w:val="28"/>
          <w:lang w:val="de-DE"/>
        </w:rPr>
      </w:pPr>
      <w:bookmarkStart w:id="0" w:name="_Hlk527712498"/>
      <w:bookmarkStart w:id="1" w:name="_Hlk510438457"/>
      <w:r w:rsidRPr="009314F5">
        <w:rPr>
          <w:rFonts w:ascii="Gill Sans MT" w:hAnsi="Gill Sans MT" w:cs="Arial"/>
          <w:b/>
          <w:bCs/>
          <w:sz w:val="28"/>
          <w:szCs w:val="28"/>
          <w:lang w:val="de-DE"/>
        </w:rPr>
        <w:t>C</w:t>
      </w:r>
      <w:r w:rsidR="00747590" w:rsidRPr="009314F5">
        <w:rPr>
          <w:rFonts w:ascii="Gill Sans MT" w:hAnsi="Gill Sans MT" w:cs="Arial"/>
          <w:b/>
          <w:bCs/>
          <w:sz w:val="28"/>
          <w:szCs w:val="28"/>
          <w:lang w:val="de-DE"/>
        </w:rPr>
        <w:t>ASE stellt seine SiteWatch-Telematikplattform mit neuem Des</w:t>
      </w:r>
      <w:r w:rsidR="00747590">
        <w:rPr>
          <w:rFonts w:ascii="Gill Sans MT" w:hAnsi="Gill Sans MT" w:cs="Arial"/>
          <w:b/>
          <w:bCs/>
          <w:sz w:val="28"/>
          <w:szCs w:val="28"/>
          <w:lang w:val="de-DE"/>
        </w:rPr>
        <w:t>ign, neuem Display und einfacher Steuerung vor</w:t>
      </w:r>
    </w:p>
    <w:p w14:paraId="54339585" w14:textId="77777777" w:rsidR="00747590" w:rsidRDefault="00747590" w:rsidP="00747590">
      <w:pPr>
        <w:widowControl w:val="0"/>
        <w:tabs>
          <w:tab w:val="center" w:pos="4418"/>
        </w:tabs>
        <w:autoSpaceDE w:val="0"/>
        <w:autoSpaceDN w:val="0"/>
        <w:adjustRightInd w:val="0"/>
        <w:spacing w:after="240" w:line="276" w:lineRule="auto"/>
        <w:outlineLvl w:val="0"/>
        <w:rPr>
          <w:rFonts w:ascii="Gill Sans MT" w:hAnsi="Gill Sans MT" w:cs="Arial"/>
          <w:i/>
          <w:iCs/>
          <w:lang w:val="de-DE"/>
        </w:rPr>
      </w:pPr>
    </w:p>
    <w:p w14:paraId="2009DA4A" w14:textId="2A0D1D8E" w:rsidR="00747590" w:rsidRDefault="00747590" w:rsidP="00747590">
      <w:pPr>
        <w:widowControl w:val="0"/>
        <w:tabs>
          <w:tab w:val="center" w:pos="4418"/>
        </w:tabs>
        <w:autoSpaceDE w:val="0"/>
        <w:autoSpaceDN w:val="0"/>
        <w:adjustRightInd w:val="0"/>
        <w:spacing w:after="240" w:line="276" w:lineRule="auto"/>
        <w:outlineLvl w:val="0"/>
        <w:rPr>
          <w:rFonts w:ascii="Gill Sans MT" w:hAnsi="Gill Sans MT" w:cs="Arial"/>
          <w:i/>
          <w:iCs/>
          <w:lang w:val="de-DE"/>
        </w:rPr>
      </w:pPr>
      <w:r>
        <w:rPr>
          <w:rFonts w:ascii="Gill Sans MT" w:hAnsi="Gill Sans MT" w:cs="Arial"/>
          <w:i/>
          <w:iCs/>
          <w:lang w:val="de-DE"/>
        </w:rPr>
        <w:t>Turin, Italien, 22. Juli 2020</w:t>
      </w:r>
      <w:r>
        <w:rPr>
          <w:rFonts w:ascii="Gill Sans MT" w:hAnsi="Gill Sans MT" w:cs="Arial"/>
          <w:i/>
          <w:szCs w:val="19"/>
          <w:lang w:val="de-DE"/>
        </w:rPr>
        <w:tab/>
      </w:r>
    </w:p>
    <w:p w14:paraId="6684FC54" w14:textId="34DE9684" w:rsidR="00747590" w:rsidRDefault="00747590" w:rsidP="00747590">
      <w:pPr>
        <w:widowControl w:val="0"/>
        <w:autoSpaceDE w:val="0"/>
        <w:autoSpaceDN w:val="0"/>
        <w:adjustRightInd w:val="0"/>
        <w:spacing w:after="240" w:line="276" w:lineRule="auto"/>
        <w:rPr>
          <w:rFonts w:ascii="Gill Sans MT" w:hAnsi="Gill Sans MT" w:cs="Arial"/>
          <w:lang w:val="de-DE"/>
        </w:rPr>
      </w:pPr>
      <w:r>
        <w:rPr>
          <w:rFonts w:ascii="Gill Sans MT" w:hAnsi="Gill Sans MT" w:cs="Arial"/>
          <w:lang w:val="de-DE"/>
        </w:rPr>
        <w:t xml:space="preserve">CASE Construction Equipment präsentiert die neueste Version seiner Telematikplattform SiteWatch mit einem neu gestalteten Instrumentendisplay, einer intuitiveren Navigation und einer erweiterten Übersicht, die wichtige Informationen anzeigen und dem Benutzer das langwierige Suchen der benötigten Daten ersparen. </w:t>
      </w:r>
    </w:p>
    <w:p w14:paraId="4AB812F2" w14:textId="16408409" w:rsidR="00747590" w:rsidRDefault="00747590" w:rsidP="00747590">
      <w:pPr>
        <w:widowControl w:val="0"/>
        <w:autoSpaceDE w:val="0"/>
        <w:autoSpaceDN w:val="0"/>
        <w:adjustRightInd w:val="0"/>
        <w:spacing w:after="240" w:line="276" w:lineRule="auto"/>
        <w:rPr>
          <w:rFonts w:ascii="Gill Sans MT" w:hAnsi="Gill Sans MT" w:cs="Arial"/>
          <w:lang w:val="de-AT"/>
        </w:rPr>
      </w:pPr>
      <w:r>
        <w:rPr>
          <w:rFonts w:ascii="Gill Sans MT" w:hAnsi="Gill Sans MT" w:cs="Arial"/>
          <w:lang w:val="de-DE"/>
        </w:rPr>
        <w:t>CASE SiteWatch ist für alle CASE-Maschinen als Option ab Werk erhältlich. Für bereits ausgelieferte Maschinen kann SiteWatch als Abonnement mit 1- bis 5-jähriger Laufzeit nachgerüstet werden.</w:t>
      </w:r>
    </w:p>
    <w:p w14:paraId="584C7621" w14:textId="26A10C68" w:rsidR="00747590" w:rsidRDefault="00747590" w:rsidP="00747590">
      <w:pPr>
        <w:widowControl w:val="0"/>
        <w:autoSpaceDE w:val="0"/>
        <w:autoSpaceDN w:val="0"/>
        <w:adjustRightInd w:val="0"/>
        <w:spacing w:after="240" w:line="276" w:lineRule="auto"/>
        <w:rPr>
          <w:rFonts w:ascii="Gill Sans MT" w:hAnsi="Gill Sans MT" w:cs="Arial"/>
          <w:szCs w:val="19"/>
          <w:lang w:val="de-AT"/>
        </w:rPr>
      </w:pPr>
      <w:r>
        <w:rPr>
          <w:rFonts w:ascii="Gill Sans MT" w:hAnsi="Gill Sans MT" w:cs="Arial"/>
          <w:szCs w:val="19"/>
          <w:lang w:val="de-DE"/>
        </w:rPr>
        <w:t xml:space="preserve">SiteWatch entspricht dem Telematikstandard 2.0 der Association of Equipment Management Professionals (AEMP), weshalb die Lösung auch mit gemischten Fuhrparks kompatibel ist.  </w:t>
      </w:r>
    </w:p>
    <w:p w14:paraId="56ACF4FF" w14:textId="5AAD4F9D" w:rsidR="00747590" w:rsidRDefault="00747590" w:rsidP="00747590">
      <w:pPr>
        <w:widowControl w:val="0"/>
        <w:autoSpaceDE w:val="0"/>
        <w:autoSpaceDN w:val="0"/>
        <w:adjustRightInd w:val="0"/>
        <w:spacing w:after="240" w:line="276" w:lineRule="auto"/>
        <w:rPr>
          <w:rFonts w:ascii="Gill Sans MT" w:hAnsi="Gill Sans MT" w:cs="Arial"/>
          <w:lang w:val="de-AT"/>
        </w:rPr>
      </w:pPr>
      <w:r>
        <w:rPr>
          <w:rFonts w:ascii="Gill Sans MT" w:hAnsi="Gill Sans MT" w:cs="Arial"/>
          <w:lang w:val="de-DE"/>
        </w:rPr>
        <w:t xml:space="preserve">„Mit dem besonders übersichtlichen und intuitiven Display stellt die neue Telematikplattform CASE SiteWatch den Anwendern eine Vielzahl kritischer Daten zur Verfügung, die mit nur einem oder zwei Klicks aufgerufen werden. Der Nutzer kann dann auf alle wichtigen Maschinen- und Leistungsdaten zugreifen, egal ob vom Arbeitsplatz aus oder im Gelände über das Tablet“, sagt Marnix Korpershoek, Construction Equipment Digital Precision Solutions and Telematics Sales &amp; Support Manager Europe, CNH Industrial. </w:t>
      </w:r>
    </w:p>
    <w:p w14:paraId="26FF90AD" w14:textId="22E7BC62" w:rsidR="00747590" w:rsidRDefault="00747590" w:rsidP="00747590">
      <w:pPr>
        <w:widowControl w:val="0"/>
        <w:autoSpaceDE w:val="0"/>
        <w:autoSpaceDN w:val="0"/>
        <w:adjustRightInd w:val="0"/>
        <w:spacing w:after="240" w:line="276" w:lineRule="auto"/>
        <w:rPr>
          <w:rFonts w:ascii="Gill Sans MT" w:hAnsi="Gill Sans MT" w:cs="Arial"/>
          <w:szCs w:val="19"/>
          <w:lang w:val="de-DE"/>
        </w:rPr>
      </w:pPr>
      <w:r>
        <w:rPr>
          <w:rFonts w:ascii="Gill Sans MT" w:hAnsi="Gill Sans MT" w:cs="Arial"/>
          <w:lang w:val="de-DE"/>
        </w:rPr>
        <w:t xml:space="preserve">Das neue Display verfügt über ein leicht lesbares horizontales Menü. Dies befindet sich am oberen Bildschirmrand oberhalb von fünf Widgets, die die wichtigsten Betriebsinformationen wie Geräteübersicht, Gerätestandort, Kraftstofffüllstände und Alarmstatus beinhalten. </w:t>
      </w:r>
      <w:r>
        <w:rPr>
          <w:rFonts w:ascii="Gill Sans MT" w:hAnsi="Gill Sans MT" w:cs="Arial"/>
          <w:szCs w:val="19"/>
          <w:lang w:val="de-DE"/>
        </w:rPr>
        <w:t>Die SiteWatch-Telematik ermöglicht in vieler Hinsicht ein effizientes Arbeiten von Flotten jeder Größe:</w:t>
      </w:r>
    </w:p>
    <w:p w14:paraId="6BDFB306" w14:textId="1DEE7B9D" w:rsidR="00747590" w:rsidRDefault="00747590" w:rsidP="00747590">
      <w:pPr>
        <w:pStyle w:val="ListParagraph"/>
        <w:widowControl w:val="0"/>
        <w:numPr>
          <w:ilvl w:val="0"/>
          <w:numId w:val="2"/>
        </w:numPr>
        <w:autoSpaceDE w:val="0"/>
        <w:autoSpaceDN w:val="0"/>
        <w:adjustRightInd w:val="0"/>
        <w:spacing w:after="240" w:line="276" w:lineRule="auto"/>
        <w:rPr>
          <w:rFonts w:ascii="Gill Sans MT" w:hAnsi="Gill Sans MT" w:cs="Arial"/>
          <w:b/>
          <w:bCs/>
          <w:sz w:val="19"/>
          <w:szCs w:val="19"/>
          <w:lang w:val="de-DE"/>
        </w:rPr>
      </w:pPr>
      <w:r>
        <w:rPr>
          <w:rFonts w:ascii="Gill Sans MT" w:hAnsi="Gill Sans MT" w:cs="Arial"/>
          <w:b/>
          <w:bCs/>
          <w:sz w:val="19"/>
          <w:szCs w:val="19"/>
          <w:lang w:val="de-DE"/>
        </w:rPr>
        <w:t xml:space="preserve">Vereinfachtes Flottenmanagement: </w:t>
      </w:r>
      <w:r>
        <w:rPr>
          <w:rFonts w:ascii="Gill Sans MT" w:hAnsi="Gill Sans MT" w:cs="Arial"/>
          <w:sz w:val="19"/>
          <w:szCs w:val="19"/>
          <w:lang w:val="de-DE"/>
        </w:rPr>
        <w:t>So wissen Sie jederzeit über den Standort, den Betriebszustand und den aktuellen Wartungs- bzw. Servicebedarf jeder Maschine Bescheid.</w:t>
      </w:r>
    </w:p>
    <w:p w14:paraId="6B8872C5" w14:textId="7612C213" w:rsidR="00747590" w:rsidRDefault="00747590" w:rsidP="00747590">
      <w:pPr>
        <w:pStyle w:val="ListParagraph"/>
        <w:widowControl w:val="0"/>
        <w:numPr>
          <w:ilvl w:val="0"/>
          <w:numId w:val="2"/>
        </w:numPr>
        <w:autoSpaceDE w:val="0"/>
        <w:autoSpaceDN w:val="0"/>
        <w:adjustRightInd w:val="0"/>
        <w:spacing w:after="240" w:line="276" w:lineRule="auto"/>
        <w:rPr>
          <w:rFonts w:ascii="Gill Sans MT" w:hAnsi="Gill Sans MT" w:cs="Arial"/>
          <w:b/>
          <w:bCs/>
          <w:sz w:val="19"/>
          <w:szCs w:val="19"/>
          <w:lang w:val="de-DE"/>
        </w:rPr>
      </w:pPr>
      <w:r>
        <w:rPr>
          <w:rFonts w:ascii="Gill Sans MT" w:hAnsi="Gill Sans MT" w:cs="Arial"/>
          <w:b/>
          <w:bCs/>
          <w:sz w:val="19"/>
          <w:szCs w:val="19"/>
          <w:lang w:val="de-DE"/>
        </w:rPr>
        <w:t xml:space="preserve">Status der aktuellen Maschinenauslastung: </w:t>
      </w:r>
      <w:r>
        <w:rPr>
          <w:rFonts w:ascii="Gill Sans MT" w:hAnsi="Gill Sans MT" w:cs="Arial"/>
          <w:sz w:val="19"/>
          <w:szCs w:val="19"/>
          <w:lang w:val="de-DE"/>
        </w:rPr>
        <w:t>Wenn Sie wissen, wann und wie die Ausrüstung eingesetzt wird, können Sie die Rentabilität und Gesamtkosten für Ihre Maschinen verbessern und fundierte Entscheidungen beim Kauf oder dem Anmieten von zusätzlicher Ausrüstung treffen.</w:t>
      </w:r>
    </w:p>
    <w:p w14:paraId="2CB9EF93" w14:textId="08161DD3" w:rsidR="00747590" w:rsidRDefault="00747590" w:rsidP="00747590">
      <w:pPr>
        <w:pStyle w:val="ListParagraph"/>
        <w:widowControl w:val="0"/>
        <w:numPr>
          <w:ilvl w:val="0"/>
          <w:numId w:val="2"/>
        </w:numPr>
        <w:autoSpaceDE w:val="0"/>
        <w:autoSpaceDN w:val="0"/>
        <w:adjustRightInd w:val="0"/>
        <w:spacing w:after="240" w:line="276" w:lineRule="auto"/>
        <w:rPr>
          <w:rFonts w:ascii="Gill Sans MT" w:hAnsi="Gill Sans MT" w:cs="Arial"/>
          <w:sz w:val="19"/>
          <w:szCs w:val="19"/>
          <w:lang w:val="de-DE"/>
        </w:rPr>
      </w:pPr>
      <w:r>
        <w:rPr>
          <w:rFonts w:ascii="Gill Sans MT" w:hAnsi="Gill Sans MT" w:cs="Arial"/>
          <w:b/>
          <w:bCs/>
          <w:sz w:val="19"/>
          <w:szCs w:val="19"/>
          <w:lang w:val="de-DE"/>
        </w:rPr>
        <w:t xml:space="preserve">Analyse von Arbeitsleistung und Produktivität: </w:t>
      </w:r>
      <w:r>
        <w:rPr>
          <w:rFonts w:ascii="Gill Sans MT" w:hAnsi="Gill Sans MT" w:cs="Arial"/>
          <w:sz w:val="19"/>
          <w:szCs w:val="19"/>
          <w:lang w:val="de-DE"/>
        </w:rPr>
        <w:t>Die</w:t>
      </w:r>
      <w:r>
        <w:rPr>
          <w:rFonts w:ascii="Gill Sans MT" w:hAnsi="Gill Sans MT" w:cs="Arial"/>
          <w:b/>
          <w:bCs/>
          <w:sz w:val="19"/>
          <w:szCs w:val="19"/>
          <w:lang w:val="de-DE"/>
        </w:rPr>
        <w:t xml:space="preserve"> </w:t>
      </w:r>
      <w:r>
        <w:rPr>
          <w:rFonts w:ascii="Gill Sans MT" w:hAnsi="Gill Sans MT" w:cs="Arial"/>
          <w:sz w:val="19"/>
          <w:szCs w:val="19"/>
          <w:lang w:val="de-DE"/>
        </w:rPr>
        <w:t xml:space="preserve">Telematik verschafft Flottenmanagern und Geschäftsführern einen detaillierten Überblick darüber, wie die Maschinen eingesetzt werden und ob sie bei jedem Projekt ihre Flotte und ihreMitarbeiter optimal einsetzen. </w:t>
      </w:r>
    </w:p>
    <w:p w14:paraId="037E7293" w14:textId="3C62D761" w:rsidR="00747590" w:rsidRDefault="00747590" w:rsidP="00747590">
      <w:pPr>
        <w:pStyle w:val="ListParagraph"/>
        <w:widowControl w:val="0"/>
        <w:numPr>
          <w:ilvl w:val="0"/>
          <w:numId w:val="2"/>
        </w:numPr>
        <w:autoSpaceDE w:val="0"/>
        <w:autoSpaceDN w:val="0"/>
        <w:adjustRightInd w:val="0"/>
        <w:spacing w:after="240" w:line="276" w:lineRule="auto"/>
        <w:rPr>
          <w:rFonts w:ascii="Gill Sans MT" w:hAnsi="Gill Sans MT" w:cs="Arial"/>
          <w:b/>
          <w:bCs/>
          <w:sz w:val="19"/>
          <w:szCs w:val="19"/>
          <w:lang w:val="de-DE"/>
        </w:rPr>
      </w:pPr>
      <w:r>
        <w:rPr>
          <w:rFonts w:ascii="Gill Sans MT" w:hAnsi="Gill Sans MT" w:cs="Arial"/>
          <w:b/>
          <w:bCs/>
          <w:sz w:val="19"/>
          <w:szCs w:val="19"/>
          <w:lang w:val="de-DE"/>
        </w:rPr>
        <w:t>Echtzeitbenachrichtigungen/Warnmeldungen:</w:t>
      </w:r>
      <w:r>
        <w:rPr>
          <w:rFonts w:ascii="Gill Sans MT" w:hAnsi="Gill Sans MT" w:cs="Arial"/>
          <w:sz w:val="19"/>
          <w:szCs w:val="19"/>
          <w:lang w:val="de-DE"/>
        </w:rPr>
        <w:t xml:space="preserve"> Zeit für einen Ölwechsel? Zu hohe Motortemperaturen? Flottenmanager und Eigentümer erhalten Echtzeitwarnungen, um sie auf Vorkommnisse aufmerksam zu machen, die besonderer Aufmerksamkeit bedürfen.</w:t>
      </w:r>
    </w:p>
    <w:p w14:paraId="3A447439" w14:textId="5F30F21A" w:rsidR="00747590" w:rsidRDefault="00747590" w:rsidP="00747590">
      <w:pPr>
        <w:pStyle w:val="ListParagraph"/>
        <w:widowControl w:val="0"/>
        <w:numPr>
          <w:ilvl w:val="0"/>
          <w:numId w:val="2"/>
        </w:numPr>
        <w:autoSpaceDE w:val="0"/>
        <w:autoSpaceDN w:val="0"/>
        <w:adjustRightInd w:val="0"/>
        <w:spacing w:after="240" w:line="276" w:lineRule="auto"/>
        <w:rPr>
          <w:rFonts w:ascii="Gill Sans MT" w:hAnsi="Gill Sans MT" w:cs="Arial"/>
          <w:szCs w:val="19"/>
          <w:lang w:val="de-DE"/>
        </w:rPr>
      </w:pPr>
      <w:r>
        <w:rPr>
          <w:rFonts w:ascii="Gill Sans MT" w:hAnsi="Gill Sans MT" w:cs="Arial"/>
          <w:b/>
          <w:bCs/>
          <w:sz w:val="19"/>
          <w:szCs w:val="19"/>
          <w:lang w:val="de-DE"/>
        </w:rPr>
        <w:t>Kooperation mit dem Händler bei Wartungsverträgen:</w:t>
      </w:r>
      <w:r>
        <w:rPr>
          <w:rFonts w:ascii="Gill Sans MT" w:hAnsi="Gill Sans MT" w:cs="Arial"/>
          <w:sz w:val="19"/>
          <w:szCs w:val="19"/>
          <w:lang w:val="de-DE"/>
        </w:rPr>
        <w:t xml:space="preserve"> Sie können Ihrem lokalen CASE Händler Zugang zu Ihren Telematikdaten gewähren, um eine bessere Zusammenarbeit durch präventive Wartung und zusätzliche Serviceleistungen zu ermöglichen. </w:t>
      </w:r>
      <w:r>
        <w:rPr>
          <w:rFonts w:ascii="Gill Sans MT" w:hAnsi="Gill Sans MT" w:cs="Arial"/>
          <w:b/>
          <w:bCs/>
          <w:sz w:val="19"/>
          <w:szCs w:val="19"/>
          <w:lang w:val="de-DE"/>
        </w:rPr>
        <w:t>Maschinensicherheit:</w:t>
      </w:r>
      <w:r>
        <w:rPr>
          <w:rFonts w:ascii="Gill Sans MT" w:hAnsi="Gill Sans MT" w:cs="Arial"/>
          <w:sz w:val="19"/>
          <w:szCs w:val="19"/>
          <w:lang w:val="de-DE"/>
        </w:rPr>
        <w:t xml:space="preserve"> Die Telematik ermöglicht die </w:t>
      </w:r>
      <w:r>
        <w:rPr>
          <w:rFonts w:ascii="Gill Sans MT" w:hAnsi="Gill Sans MT" w:cs="Arial"/>
          <w:sz w:val="19"/>
          <w:szCs w:val="19"/>
          <w:lang w:val="de-DE"/>
        </w:rPr>
        <w:lastRenderedPageBreak/>
        <w:t>Lokalisierung gestohlener Maschinen - was bei Wiederauffinden und Rückführung durch die entsprechenden Behörden wesentlich kosteneffizienter ist als die Wiederbeschaffungskosten und die bis dahin entstehenden Kosten für Ausfallzeiten.</w:t>
      </w:r>
    </w:p>
    <w:p w14:paraId="611BD4F6" w14:textId="6B7E6594" w:rsidR="00747590" w:rsidRDefault="00747590" w:rsidP="00747590">
      <w:pPr>
        <w:widowControl w:val="0"/>
        <w:autoSpaceDE w:val="0"/>
        <w:autoSpaceDN w:val="0"/>
        <w:adjustRightInd w:val="0"/>
        <w:spacing w:after="240" w:line="276" w:lineRule="auto"/>
        <w:rPr>
          <w:rFonts w:ascii="Gill Sans MT" w:hAnsi="Gill Sans MT" w:cs="Arial"/>
          <w:b/>
          <w:color w:val="0070C0"/>
          <w:szCs w:val="19"/>
          <w:lang w:val="de-DE"/>
        </w:rPr>
      </w:pPr>
      <w:r>
        <w:rPr>
          <w:rFonts w:ascii="Gill Sans MT" w:hAnsi="Gill Sans MT" w:cs="Arial"/>
          <w:lang w:val="de-DE"/>
        </w:rPr>
        <w:t xml:space="preserve">Neben diesen Aspekten gibt es noch viele weitere Möglichkeiten, um Ihr Unternehmen mithilfe der neuen Telematikplattform SiteWatch von CASE zu optimieren. Für weitere Informationen kontaktieren Sie Ihren lokalen CASE Händler oder besuchen Sie CaseCE.com/emea/en-eu/solutions/SiteWatch/SiteWatch.  </w:t>
      </w:r>
    </w:p>
    <w:p w14:paraId="3F98D7D3" w14:textId="619F9AC3" w:rsidR="5AF91D68" w:rsidRDefault="5AF91D68" w:rsidP="009314F5">
      <w:pPr>
        <w:spacing w:line="257" w:lineRule="auto"/>
        <w:rPr>
          <w:rFonts w:ascii="Gill Sans MT" w:eastAsia="Gill Sans MT" w:hAnsi="Gill Sans MT" w:cs="Gill Sans MT"/>
          <w:b/>
          <w:bCs/>
          <w:color w:val="0070C0"/>
          <w:sz w:val="19"/>
          <w:szCs w:val="19"/>
          <w:lang w:val="de-AT"/>
        </w:rPr>
      </w:pPr>
      <w:r w:rsidRPr="0699A305">
        <w:rPr>
          <w:rFonts w:ascii="Gill Sans MT" w:eastAsia="Gill Sans MT" w:hAnsi="Gill Sans MT" w:cs="Gill Sans MT"/>
          <w:b/>
          <w:bCs/>
          <w:color w:val="0070C0"/>
          <w:sz w:val="19"/>
          <w:szCs w:val="19"/>
          <w:lang w:val="de-AT"/>
        </w:rPr>
        <w:t xml:space="preserve"> </w:t>
      </w:r>
    </w:p>
    <w:p w14:paraId="59462B17" w14:textId="37834659" w:rsidR="5AF91D68" w:rsidRDefault="5AF91D68" w:rsidP="009314F5">
      <w:pPr>
        <w:spacing w:line="257" w:lineRule="auto"/>
        <w:rPr>
          <w:rFonts w:ascii="Gill Sans MT" w:eastAsia="Gill Sans MT" w:hAnsi="Gill Sans MT" w:cs="Gill Sans MT"/>
          <w:b/>
          <w:bCs/>
          <w:sz w:val="19"/>
          <w:szCs w:val="19"/>
          <w:lang w:val="de"/>
        </w:rPr>
      </w:pPr>
      <w:r w:rsidRPr="0699A305">
        <w:rPr>
          <w:rFonts w:ascii="Gill Sans MT" w:eastAsia="Gill Sans MT" w:hAnsi="Gill Sans MT" w:cs="Gill Sans MT"/>
          <w:b/>
          <w:bCs/>
          <w:sz w:val="19"/>
          <w:szCs w:val="19"/>
          <w:lang w:val="de"/>
        </w:rPr>
        <w:t>Hinweise für Redakteure</w:t>
      </w:r>
    </w:p>
    <w:p w14:paraId="013288AB" w14:textId="54B9D477" w:rsidR="5AF91D68" w:rsidRDefault="5AF91D68" w:rsidP="009314F5">
      <w:pPr>
        <w:spacing w:line="257" w:lineRule="auto"/>
        <w:rPr>
          <w:rStyle w:val="Hyperlink"/>
          <w:rFonts w:ascii="Gill Sans MT" w:eastAsia="Gill Sans MT" w:hAnsi="Gill Sans MT" w:cs="Gill Sans MT"/>
          <w:sz w:val="19"/>
          <w:szCs w:val="19"/>
          <w:lang w:val="de"/>
        </w:rPr>
      </w:pPr>
      <w:r w:rsidRPr="0699A305">
        <w:rPr>
          <w:rFonts w:ascii="Gill Sans MT" w:eastAsia="Gill Sans MT" w:hAnsi="Gill Sans MT" w:cs="Gill Sans MT"/>
          <w:sz w:val="19"/>
          <w:szCs w:val="19"/>
          <w:lang w:val="de"/>
        </w:rPr>
        <w:t xml:space="preserve">Von unserer Website können Sie Texte, Videos und Bilddateien in hoher Auflösung (JPG 300 DPI, CMYK) zu dieser Pressemeldung herunterladen: </w:t>
      </w:r>
      <w:hyperlink r:id="rId10" w:history="1">
        <w:r w:rsidRPr="0699A305">
          <w:rPr>
            <w:rStyle w:val="Hyperlink"/>
            <w:rFonts w:ascii="Gill Sans MT" w:eastAsia="Gill Sans MT" w:hAnsi="Gill Sans MT" w:cs="Gill Sans MT"/>
            <w:sz w:val="19"/>
            <w:szCs w:val="19"/>
            <w:lang w:val="de"/>
          </w:rPr>
          <w:t>www.casecetools.com/press-kit</w:t>
        </w:r>
      </w:hyperlink>
    </w:p>
    <w:p w14:paraId="656BA9DE" w14:textId="68569A17" w:rsidR="5AF91D68" w:rsidRDefault="5AF91D68" w:rsidP="009314F5">
      <w:pPr>
        <w:spacing w:line="257" w:lineRule="auto"/>
        <w:rPr>
          <w:rFonts w:ascii="Gill Sans MT" w:eastAsia="Gill Sans MT" w:hAnsi="Gill Sans MT" w:cs="Gill Sans MT"/>
          <w:b/>
          <w:bCs/>
          <w:sz w:val="19"/>
          <w:szCs w:val="19"/>
          <w:lang w:val="de-DE"/>
        </w:rPr>
      </w:pPr>
      <w:r w:rsidRPr="0699A305">
        <w:rPr>
          <w:rFonts w:ascii="Gill Sans MT" w:eastAsia="Gill Sans MT" w:hAnsi="Gill Sans MT" w:cs="Gill Sans MT"/>
          <w:b/>
          <w:bCs/>
          <w:sz w:val="19"/>
          <w:szCs w:val="19"/>
          <w:lang w:val="de-DE"/>
        </w:rPr>
        <w:t>Folgen Sie uns auf:</w:t>
      </w:r>
    </w:p>
    <w:p w14:paraId="614AF8CD" w14:textId="061E82A3" w:rsidR="5AF91D68" w:rsidRPr="009314F5" w:rsidRDefault="5AF91D68" w:rsidP="009314F5">
      <w:pPr>
        <w:rPr>
          <w:rFonts w:ascii="Gill Sans MT" w:eastAsia="Times New Roman" w:hAnsi="Gill Sans MT" w:cs="Arial"/>
          <w:b/>
          <w:color w:val="000000"/>
          <w:sz w:val="19"/>
          <w:szCs w:val="19"/>
          <w:lang w:val="it-IT" w:eastAsia="it-IT"/>
        </w:rPr>
      </w:pPr>
      <w:r w:rsidRPr="0699A305">
        <w:rPr>
          <w:rFonts w:ascii="Gill Sans MT" w:eastAsia="Gill Sans MT" w:hAnsi="Gill Sans MT" w:cs="Gill Sans MT"/>
          <w:b/>
          <w:bCs/>
          <w:sz w:val="19"/>
          <w:szCs w:val="19"/>
          <w:lang w:val="it"/>
        </w:rPr>
        <w:t xml:space="preserve"> </w:t>
      </w:r>
      <w:r w:rsidR="00747590">
        <w:rPr>
          <w:rFonts w:ascii="Gill Sans MT" w:eastAsia="Times New Roman" w:hAnsi="Gill Sans MT" w:cs="Arial"/>
          <w:b/>
          <w:noProof/>
          <w:color w:val="000000"/>
          <w:sz w:val="19"/>
          <w:szCs w:val="19"/>
          <w:lang w:val="es-ES" w:eastAsia="it-IT"/>
        </w:rPr>
        <w:drawing>
          <wp:inline distT="0" distB="0" distL="0" distR="0" wp14:anchorId="771E00A0" wp14:editId="362D5A18">
            <wp:extent cx="200025" cy="200025"/>
            <wp:effectExtent l="0" t="0" r="9525" b="9525"/>
            <wp:docPr id="14" name="Picture 14">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200025" cy="200025"/>
                    </a:xfrm>
                    <a:prstGeom prst="rect">
                      <a:avLst/>
                    </a:prstGeom>
                    <a:noFill/>
                    <a:ln>
                      <a:noFill/>
                    </a:ln>
                  </pic:spPr>
                </pic:pic>
              </a:graphicData>
            </a:graphic>
          </wp:inline>
        </w:drawing>
      </w:r>
      <w:r w:rsidR="00747590">
        <w:rPr>
          <w:rFonts w:ascii="Gill Sans MT" w:eastAsia="Times New Roman" w:hAnsi="Gill Sans MT" w:cs="Arial"/>
          <w:b/>
          <w:color w:val="000000"/>
          <w:sz w:val="19"/>
          <w:szCs w:val="19"/>
          <w:lang w:val="it-IT" w:eastAsia="it-IT"/>
        </w:rPr>
        <w:t xml:space="preserve">   </w:t>
      </w:r>
      <w:r w:rsidR="00747590">
        <w:rPr>
          <w:rFonts w:ascii="Gill Sans MT" w:eastAsia="Times New Roman" w:hAnsi="Gill Sans MT" w:cs="Arial"/>
          <w:b/>
          <w:noProof/>
          <w:color w:val="000000"/>
          <w:sz w:val="19"/>
          <w:szCs w:val="19"/>
          <w:lang w:val="es-ES" w:eastAsia="it-IT"/>
        </w:rPr>
        <w:drawing>
          <wp:inline distT="0" distB="0" distL="0" distR="0" wp14:anchorId="550AE426" wp14:editId="40040F81">
            <wp:extent cx="200025" cy="200025"/>
            <wp:effectExtent l="0" t="0" r="9525" b="9525"/>
            <wp:docPr id="13" name="Picture 13">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r:link="rId16">
                      <a:extLst>
                        <a:ext uri="{28A0092B-C50C-407E-A947-70E740481C1C}">
                          <a14:useLocalDpi xmlns:a14="http://schemas.microsoft.com/office/drawing/2010/main" val="0"/>
                        </a:ext>
                      </a:extLst>
                    </a:blip>
                    <a:srcRect/>
                    <a:stretch>
                      <a:fillRect/>
                    </a:stretch>
                  </pic:blipFill>
                  <pic:spPr bwMode="auto">
                    <a:xfrm>
                      <a:off x="0" y="0"/>
                      <a:ext cx="200025" cy="200025"/>
                    </a:xfrm>
                    <a:prstGeom prst="rect">
                      <a:avLst/>
                    </a:prstGeom>
                    <a:noFill/>
                    <a:ln>
                      <a:noFill/>
                    </a:ln>
                  </pic:spPr>
                </pic:pic>
              </a:graphicData>
            </a:graphic>
          </wp:inline>
        </w:drawing>
      </w:r>
      <w:r w:rsidR="00747590">
        <w:rPr>
          <w:rFonts w:ascii="Gill Sans MT" w:eastAsia="Times New Roman" w:hAnsi="Gill Sans MT" w:cs="Arial"/>
          <w:b/>
          <w:color w:val="000000"/>
          <w:sz w:val="19"/>
          <w:szCs w:val="19"/>
          <w:lang w:val="it-IT" w:eastAsia="it-IT"/>
        </w:rPr>
        <w:t xml:space="preserve">   </w:t>
      </w:r>
      <w:r w:rsidR="00747590">
        <w:rPr>
          <w:rFonts w:ascii="Gill Sans MT" w:eastAsia="Times New Roman" w:hAnsi="Gill Sans MT" w:cs="Arial"/>
          <w:b/>
          <w:noProof/>
          <w:color w:val="000000"/>
          <w:sz w:val="19"/>
          <w:szCs w:val="19"/>
          <w:lang w:val="es-ES" w:eastAsia="it-IT"/>
        </w:rPr>
        <w:drawing>
          <wp:inline distT="0" distB="0" distL="0" distR="0" wp14:anchorId="1DDF608C" wp14:editId="449F0293">
            <wp:extent cx="200025" cy="200025"/>
            <wp:effectExtent l="0" t="0" r="9525" b="9525"/>
            <wp:docPr id="12" name="Picture 12">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r:link="rId19">
                      <a:extLst>
                        <a:ext uri="{28A0092B-C50C-407E-A947-70E740481C1C}">
                          <a14:useLocalDpi xmlns:a14="http://schemas.microsoft.com/office/drawing/2010/main" val="0"/>
                        </a:ext>
                      </a:extLst>
                    </a:blip>
                    <a:srcRect/>
                    <a:stretch>
                      <a:fillRect/>
                    </a:stretch>
                  </pic:blipFill>
                  <pic:spPr bwMode="auto">
                    <a:xfrm>
                      <a:off x="0" y="0"/>
                      <a:ext cx="200025" cy="200025"/>
                    </a:xfrm>
                    <a:prstGeom prst="rect">
                      <a:avLst/>
                    </a:prstGeom>
                    <a:noFill/>
                    <a:ln>
                      <a:noFill/>
                    </a:ln>
                  </pic:spPr>
                </pic:pic>
              </a:graphicData>
            </a:graphic>
          </wp:inline>
        </w:drawing>
      </w:r>
      <w:r w:rsidR="00747590">
        <w:rPr>
          <w:rFonts w:ascii="Gill Sans MT" w:eastAsia="Times New Roman" w:hAnsi="Gill Sans MT" w:cs="Arial"/>
          <w:b/>
          <w:color w:val="000000"/>
          <w:sz w:val="19"/>
          <w:szCs w:val="19"/>
          <w:lang w:val="it-IT" w:eastAsia="it-IT"/>
        </w:rPr>
        <w:t xml:space="preserve">   </w:t>
      </w:r>
      <w:r w:rsidR="00747590">
        <w:rPr>
          <w:rFonts w:ascii="Gill Sans MT" w:eastAsia="Times New Roman" w:hAnsi="Gill Sans MT" w:cs="Arial"/>
          <w:b/>
          <w:noProof/>
          <w:color w:val="000000"/>
          <w:sz w:val="19"/>
          <w:szCs w:val="19"/>
          <w:lang w:val="es-ES" w:eastAsia="it-IT"/>
        </w:rPr>
        <w:drawing>
          <wp:inline distT="0" distB="0" distL="0" distR="0" wp14:anchorId="1D878D10" wp14:editId="2EB7365B">
            <wp:extent cx="200025" cy="200025"/>
            <wp:effectExtent l="0" t="0" r="9525" b="9525"/>
            <wp:docPr id="11" name="Picture 11">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r:link="rId22">
                      <a:extLst>
                        <a:ext uri="{28A0092B-C50C-407E-A947-70E740481C1C}">
                          <a14:useLocalDpi xmlns:a14="http://schemas.microsoft.com/office/drawing/2010/main" val="0"/>
                        </a:ext>
                      </a:extLst>
                    </a:blip>
                    <a:srcRect/>
                    <a:stretch>
                      <a:fillRect/>
                    </a:stretch>
                  </pic:blipFill>
                  <pic:spPr bwMode="auto">
                    <a:xfrm>
                      <a:off x="0" y="0"/>
                      <a:ext cx="200025" cy="200025"/>
                    </a:xfrm>
                    <a:prstGeom prst="rect">
                      <a:avLst/>
                    </a:prstGeom>
                    <a:noFill/>
                    <a:ln>
                      <a:noFill/>
                    </a:ln>
                  </pic:spPr>
                </pic:pic>
              </a:graphicData>
            </a:graphic>
          </wp:inline>
        </w:drawing>
      </w:r>
      <w:r w:rsidRPr="0699A305">
        <w:rPr>
          <w:rFonts w:ascii="Gill Sans MT" w:eastAsia="Gill Sans MT" w:hAnsi="Gill Sans MT" w:cs="Gill Sans MT"/>
          <w:b/>
          <w:bCs/>
          <w:sz w:val="19"/>
          <w:szCs w:val="19"/>
          <w:lang w:val="it"/>
        </w:rPr>
        <w:t xml:space="preserve">        </w:t>
      </w:r>
    </w:p>
    <w:p w14:paraId="2013E5BB" w14:textId="7B0979B2" w:rsidR="5AF91D68" w:rsidRDefault="5AF91D68" w:rsidP="009314F5">
      <w:pPr>
        <w:spacing w:line="257" w:lineRule="auto"/>
        <w:rPr>
          <w:rFonts w:ascii="Gill Sans MT" w:eastAsia="Gill Sans MT" w:hAnsi="Gill Sans MT" w:cs="Gill Sans MT"/>
          <w:i/>
          <w:iCs/>
          <w:sz w:val="19"/>
          <w:szCs w:val="19"/>
          <w:lang w:val="de"/>
        </w:rPr>
      </w:pPr>
      <w:r w:rsidRPr="0699A305">
        <w:rPr>
          <w:rFonts w:ascii="Gill Sans MT" w:eastAsia="Gill Sans MT" w:hAnsi="Gill Sans MT" w:cs="Gill Sans MT"/>
          <w:i/>
          <w:iCs/>
          <w:sz w:val="19"/>
          <w:szCs w:val="19"/>
          <w:lang w:val="de"/>
        </w:rPr>
        <w:t xml:space="preserve">CASE Construction Equipment vertreibt auf der ganzen Welt ein komplettes Angebot verschiedenster Baumaschinen, darunter Baggerlader (Marktführer), Raupen- und Mobilbagger, Motorgrader, Radlader, Kompaktlader, Raupenkompaktlader und Allweg-Stapler. Über das internationale Händlernetz bietet CASE seinen Kunden eine professionelle Partnerschaft – mit leistungsfähigen Maschinen und einem Kundendienst der Spitzenklasse, branchenführenden Garantieleistungen und flexiblen Finanzierungslösungen. Weitere Informationen finden Sie unter </w:t>
      </w:r>
      <w:hyperlink r:id="rId23" w:history="1">
        <w:r w:rsidRPr="0699A305">
          <w:rPr>
            <w:rStyle w:val="Hyperlink"/>
            <w:rFonts w:ascii="Gill Sans MT" w:eastAsia="Gill Sans MT" w:hAnsi="Gill Sans MT" w:cs="Gill Sans MT"/>
            <w:i/>
            <w:iCs/>
            <w:sz w:val="19"/>
            <w:szCs w:val="19"/>
            <w:lang w:val="de"/>
          </w:rPr>
          <w:t>www.CASEce.com</w:t>
        </w:r>
      </w:hyperlink>
      <w:r w:rsidRPr="0699A305">
        <w:rPr>
          <w:rFonts w:ascii="Gill Sans MT" w:eastAsia="Gill Sans MT" w:hAnsi="Gill Sans MT" w:cs="Gill Sans MT"/>
          <w:i/>
          <w:iCs/>
          <w:sz w:val="19"/>
          <w:szCs w:val="19"/>
          <w:lang w:val="de"/>
        </w:rPr>
        <w:t>.</w:t>
      </w:r>
    </w:p>
    <w:p w14:paraId="54DBF968" w14:textId="64293D67" w:rsidR="5AF91D68" w:rsidRDefault="5AF91D68" w:rsidP="009314F5">
      <w:pPr>
        <w:spacing w:line="257" w:lineRule="auto"/>
        <w:rPr>
          <w:rFonts w:ascii="Gill Sans MT" w:eastAsia="Gill Sans MT" w:hAnsi="Gill Sans MT" w:cs="Gill Sans MT"/>
          <w:i/>
          <w:iCs/>
          <w:sz w:val="19"/>
          <w:szCs w:val="19"/>
          <w:lang w:val="de"/>
        </w:rPr>
      </w:pPr>
      <w:r w:rsidRPr="0699A305">
        <w:rPr>
          <w:rFonts w:ascii="Gill Sans MT" w:eastAsia="Gill Sans MT" w:hAnsi="Gill Sans MT" w:cs="Gill Sans MT"/>
          <w:i/>
          <w:iCs/>
          <w:sz w:val="19"/>
          <w:szCs w:val="19"/>
          <w:lang w:val="de"/>
        </w:rPr>
        <w:t xml:space="preserve">CASE Construction Equipment ist eine Marke von CNH Industrial N.V., einem weltweit führenden Hersteller von Investitionsgütern. Das Unternehmen ist an der New Yorker Wertpapierbörse (NYSE: CNHI) und beim elektronischen Wertpapierhandel der Italienischen Börse (MI: CNHI) registriert. Weitere Informationen finden Sie online unter: </w:t>
      </w:r>
      <w:hyperlink r:id="rId24" w:history="1">
        <w:r w:rsidRPr="0699A305">
          <w:rPr>
            <w:rStyle w:val="Hyperlink"/>
            <w:rFonts w:ascii="Gill Sans MT" w:eastAsia="Gill Sans MT" w:hAnsi="Gill Sans MT" w:cs="Gill Sans MT"/>
            <w:i/>
            <w:iCs/>
            <w:sz w:val="19"/>
            <w:szCs w:val="19"/>
            <w:lang w:val="de"/>
          </w:rPr>
          <w:t>www.cnhindustrial.com</w:t>
        </w:r>
      </w:hyperlink>
      <w:r w:rsidRPr="0699A305">
        <w:rPr>
          <w:rFonts w:ascii="Gill Sans MT" w:eastAsia="Gill Sans MT" w:hAnsi="Gill Sans MT" w:cs="Gill Sans MT"/>
          <w:i/>
          <w:iCs/>
          <w:sz w:val="19"/>
          <w:szCs w:val="19"/>
          <w:lang w:val="de"/>
        </w:rPr>
        <w:t>.</w:t>
      </w:r>
    </w:p>
    <w:p w14:paraId="1A5ACFAE" w14:textId="161FF68D" w:rsidR="5AF91D68" w:rsidRDefault="5AF91D68" w:rsidP="009314F5">
      <w:pPr>
        <w:spacing w:line="257" w:lineRule="auto"/>
        <w:rPr>
          <w:rFonts w:ascii="Gill Sans MT" w:eastAsia="Gill Sans MT" w:hAnsi="Gill Sans MT" w:cs="Gill Sans MT"/>
          <w:b/>
          <w:bCs/>
          <w:sz w:val="19"/>
          <w:szCs w:val="19"/>
          <w:lang w:val="de"/>
        </w:rPr>
      </w:pPr>
      <w:r w:rsidRPr="0699A305">
        <w:rPr>
          <w:rFonts w:ascii="Gill Sans MT" w:eastAsia="Gill Sans MT" w:hAnsi="Gill Sans MT" w:cs="Gill Sans MT"/>
          <w:b/>
          <w:bCs/>
          <w:sz w:val="19"/>
          <w:szCs w:val="19"/>
          <w:lang w:val="de"/>
        </w:rPr>
        <w:t xml:space="preserve"> </w:t>
      </w:r>
    </w:p>
    <w:p w14:paraId="78FFB2FB" w14:textId="5A5E0607" w:rsidR="5AF91D68" w:rsidRDefault="5AF91D68" w:rsidP="009314F5">
      <w:pPr>
        <w:spacing w:line="257" w:lineRule="auto"/>
        <w:rPr>
          <w:rFonts w:ascii="Gill Sans MT" w:eastAsia="Gill Sans MT" w:hAnsi="Gill Sans MT" w:cs="Gill Sans MT"/>
          <w:b/>
          <w:bCs/>
          <w:sz w:val="19"/>
          <w:szCs w:val="19"/>
          <w:lang w:val="de"/>
        </w:rPr>
      </w:pPr>
      <w:r w:rsidRPr="0699A305">
        <w:rPr>
          <w:rFonts w:ascii="Gill Sans MT" w:eastAsia="Gill Sans MT" w:hAnsi="Gill Sans MT" w:cs="Gill Sans MT"/>
          <w:b/>
          <w:bCs/>
          <w:sz w:val="19"/>
          <w:szCs w:val="19"/>
          <w:lang w:val="de"/>
        </w:rPr>
        <w:t>Weitere Informationen erhalten Sie hier:</w:t>
      </w:r>
    </w:p>
    <w:p w14:paraId="7385950B" w14:textId="374593E3" w:rsidR="5AF91D68" w:rsidRDefault="5AF91D68" w:rsidP="009314F5">
      <w:pPr>
        <w:spacing w:line="257" w:lineRule="auto"/>
        <w:rPr>
          <w:rFonts w:ascii="Gill Sans MT" w:eastAsia="Gill Sans MT" w:hAnsi="Gill Sans MT" w:cs="Gill Sans MT"/>
          <w:sz w:val="19"/>
          <w:szCs w:val="19"/>
          <w:lang w:val="en-US"/>
        </w:rPr>
      </w:pPr>
      <w:r w:rsidRPr="0699A305">
        <w:rPr>
          <w:rFonts w:ascii="Gill Sans MT" w:eastAsia="Gill Sans MT" w:hAnsi="Gill Sans MT" w:cs="Gill Sans MT"/>
          <w:sz w:val="19"/>
          <w:szCs w:val="19"/>
          <w:lang w:val="en-US"/>
        </w:rPr>
        <w:t>Lutz Holthaus – Copestone on behalf of CASE Construction Equipment</w:t>
      </w:r>
    </w:p>
    <w:p w14:paraId="146E7B42" w14:textId="133D46CE" w:rsidR="5AF91D68" w:rsidRDefault="5AF91D68" w:rsidP="009314F5">
      <w:pPr>
        <w:spacing w:line="257" w:lineRule="auto"/>
        <w:rPr>
          <w:rFonts w:ascii="Gill Sans MT" w:eastAsia="Gill Sans MT" w:hAnsi="Gill Sans MT" w:cs="Gill Sans MT"/>
          <w:sz w:val="19"/>
          <w:szCs w:val="19"/>
          <w:lang w:val="de"/>
        </w:rPr>
      </w:pPr>
      <w:r w:rsidRPr="0699A305">
        <w:rPr>
          <w:rFonts w:ascii="Gill Sans MT" w:eastAsia="Gill Sans MT" w:hAnsi="Gill Sans MT" w:cs="Gill Sans MT"/>
          <w:sz w:val="19"/>
          <w:szCs w:val="19"/>
          <w:lang w:val="de"/>
        </w:rPr>
        <w:t>+49 2392 913 465</w:t>
      </w:r>
    </w:p>
    <w:p w14:paraId="114C51CB" w14:textId="1B50C280" w:rsidR="5AF91D68" w:rsidRDefault="5AF91D68" w:rsidP="009314F5">
      <w:pPr>
        <w:spacing w:line="257" w:lineRule="auto"/>
        <w:rPr>
          <w:rStyle w:val="Hyperlink"/>
          <w:rFonts w:ascii="Gill Sans MT" w:eastAsia="Gill Sans MT" w:hAnsi="Gill Sans MT" w:cs="Gill Sans MT"/>
          <w:sz w:val="19"/>
          <w:szCs w:val="19"/>
          <w:lang w:val="de"/>
        </w:rPr>
      </w:pPr>
      <w:hyperlink r:id="rId25" w:history="1">
        <w:r w:rsidRPr="0699A305">
          <w:rPr>
            <w:rStyle w:val="Hyperlink"/>
            <w:rFonts w:ascii="Gill Sans MT" w:eastAsia="Gill Sans MT" w:hAnsi="Gill Sans MT" w:cs="Gill Sans MT"/>
            <w:sz w:val="19"/>
            <w:szCs w:val="19"/>
            <w:lang w:val="de"/>
          </w:rPr>
          <w:t>lutz@copestone.uk.com</w:t>
        </w:r>
      </w:hyperlink>
    </w:p>
    <w:bookmarkEnd w:id="0"/>
    <w:bookmarkEnd w:id="1"/>
    <w:p w14:paraId="3D39CEBD" w14:textId="5D0D19F5" w:rsidR="0699A305" w:rsidRDefault="0699A305" w:rsidP="0699A305">
      <w:pPr>
        <w:rPr>
          <w:rFonts w:ascii="Gill Sans MT" w:eastAsia="Times New Roman" w:hAnsi="Gill Sans MT" w:cs="Arial"/>
          <w:sz w:val="19"/>
          <w:szCs w:val="19"/>
          <w:lang w:val="de-DE" w:eastAsia="it-IT"/>
        </w:rPr>
      </w:pPr>
    </w:p>
    <w:p w14:paraId="41C8F396" w14:textId="77777777" w:rsidR="00DC3433" w:rsidRPr="00033298" w:rsidRDefault="00DC3433">
      <w:pPr>
        <w:pStyle w:val="01TESTO"/>
        <w:rPr>
          <w:rFonts w:ascii="Gill Sans MT" w:hAnsi="Gill Sans MT"/>
          <w:b/>
          <w:szCs w:val="19"/>
        </w:rPr>
      </w:pPr>
    </w:p>
    <w:p w14:paraId="72A3D3EC" w14:textId="77777777" w:rsidR="00DC3433" w:rsidRPr="00033298" w:rsidRDefault="00DC3433">
      <w:pPr>
        <w:widowControl w:val="0"/>
        <w:autoSpaceDE w:val="0"/>
        <w:autoSpaceDN w:val="0"/>
        <w:adjustRightInd w:val="0"/>
        <w:spacing w:line="360" w:lineRule="auto"/>
        <w:rPr>
          <w:rFonts w:ascii="Gill Sans MT" w:hAnsi="Gill Sans MT"/>
        </w:rPr>
      </w:pPr>
    </w:p>
    <w:p w14:paraId="0D0B940D" w14:textId="77777777" w:rsidR="00DC3433" w:rsidRPr="00033298" w:rsidRDefault="00DC3433">
      <w:pPr>
        <w:rPr>
          <w:rFonts w:ascii="Gill Sans MT" w:hAnsi="Gill Sans MT"/>
        </w:rPr>
      </w:pPr>
    </w:p>
    <w:sectPr w:rsidR="00DC3433" w:rsidRPr="00033298">
      <w:headerReference w:type="default" r:id="rId26"/>
      <w:footerReference w:type="default" r:id="rId27"/>
      <w:headerReference w:type="first" r:id="rId28"/>
      <w:footerReference w:type="first" r:id="rId29"/>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D83267" w14:textId="77777777" w:rsidR="00107223" w:rsidRDefault="00107223">
      <w:pPr>
        <w:spacing w:after="0" w:line="240" w:lineRule="auto"/>
      </w:pPr>
      <w:r>
        <w:separator/>
      </w:r>
    </w:p>
  </w:endnote>
  <w:endnote w:type="continuationSeparator" w:id="0">
    <w:p w14:paraId="48214E09" w14:textId="77777777" w:rsidR="00107223" w:rsidRDefault="00107223">
      <w:pPr>
        <w:spacing w:after="0" w:line="240" w:lineRule="auto"/>
      </w:pPr>
      <w:r>
        <w:continuationSeparator/>
      </w:r>
    </w:p>
  </w:endnote>
  <w:endnote w:type="continuationNotice" w:id="1">
    <w:p w14:paraId="74AA72CD" w14:textId="77777777" w:rsidR="00107223" w:rsidRDefault="0010722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486C05" w14:textId="77777777" w:rsidR="00DC3433" w:rsidRDefault="00DC3433">
    <w:pPr>
      <w:pStyle w:val="Footer"/>
    </w:pPr>
  </w:p>
  <w:p w14:paraId="4101652C" w14:textId="77777777" w:rsidR="00DC3433" w:rsidRDefault="00DC3433">
    <w:pPr>
      <w:pStyle w:val="Footer"/>
    </w:pPr>
  </w:p>
  <w:p w14:paraId="4B99056E" w14:textId="77777777" w:rsidR="00DC3433" w:rsidRDefault="00DC3433">
    <w:pPr>
      <w:pStyle w:val="Footer"/>
    </w:pPr>
  </w:p>
  <w:p w14:paraId="1299C43A" w14:textId="77777777" w:rsidR="00DC3433" w:rsidRDefault="00DC34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EAFD9C" w14:textId="77777777" w:rsidR="00DC3433" w:rsidRDefault="00DC3433">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DC0AD0" w14:textId="77777777" w:rsidR="00107223" w:rsidRDefault="00107223">
      <w:pPr>
        <w:spacing w:after="0" w:line="240" w:lineRule="auto"/>
      </w:pPr>
      <w:r>
        <w:separator/>
      </w:r>
    </w:p>
  </w:footnote>
  <w:footnote w:type="continuationSeparator" w:id="0">
    <w:p w14:paraId="260F56D3" w14:textId="77777777" w:rsidR="00107223" w:rsidRDefault="00107223">
      <w:pPr>
        <w:spacing w:after="0" w:line="240" w:lineRule="auto"/>
      </w:pPr>
      <w:r>
        <w:continuationSeparator/>
      </w:r>
    </w:p>
  </w:footnote>
  <w:footnote w:type="continuationNotice" w:id="1">
    <w:p w14:paraId="7215D7A6" w14:textId="77777777" w:rsidR="00107223" w:rsidRDefault="0010722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E5B0F8" w14:textId="77777777" w:rsidR="00DC3433" w:rsidRDefault="00107223">
    <w:r>
      <w:rPr>
        <w:noProof/>
        <w:lang w:val="it-IT" w:eastAsia="zh-CN"/>
      </w:rPr>
      <w:drawing>
        <wp:anchor distT="0" distB="0" distL="114300" distR="114300" simplePos="0" relativeHeight="251658244" behindDoc="1" locked="0" layoutInCell="1" allowOverlap="1" wp14:anchorId="0C6FA76F" wp14:editId="07777777">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DC3433" w14:paraId="4B94D5A5" w14:textId="77777777">
      <w:trPr>
        <w:trHeight w:val="735"/>
      </w:trPr>
      <w:tc>
        <w:tcPr>
          <w:tcW w:w="2614" w:type="dxa"/>
          <w:shd w:val="clear" w:color="auto" w:fill="auto"/>
          <w:vAlign w:val="bottom"/>
        </w:tcPr>
        <w:p w14:paraId="3DEEC669" w14:textId="77777777" w:rsidR="00DC3433" w:rsidRDefault="00DC3433">
          <w:pPr>
            <w:pStyle w:val="04FOOTER"/>
            <w:ind w:right="-101"/>
          </w:pPr>
        </w:p>
      </w:tc>
      <w:tc>
        <w:tcPr>
          <w:tcW w:w="2835" w:type="dxa"/>
        </w:tcPr>
        <w:p w14:paraId="3656B9AB" w14:textId="77777777" w:rsidR="00DC3433" w:rsidRDefault="00DC3433">
          <w:pPr>
            <w:pStyle w:val="04FOOTER"/>
            <w:ind w:right="-101"/>
          </w:pPr>
        </w:p>
        <w:p w14:paraId="45FB0818" w14:textId="77777777" w:rsidR="00DC3433" w:rsidRDefault="00DC3433">
          <w:pPr>
            <w:pStyle w:val="04FOOTER"/>
            <w:ind w:right="-101"/>
          </w:pPr>
        </w:p>
        <w:p w14:paraId="049F31CB" w14:textId="77777777" w:rsidR="00DC3433" w:rsidRDefault="00DC3433">
          <w:pPr>
            <w:pStyle w:val="04FOOTER"/>
            <w:ind w:right="-101"/>
          </w:pPr>
        </w:p>
        <w:p w14:paraId="53128261" w14:textId="77777777" w:rsidR="00DC3433" w:rsidRDefault="00DC3433">
          <w:pPr>
            <w:pStyle w:val="04FOOTER"/>
            <w:ind w:right="-101"/>
          </w:pPr>
        </w:p>
      </w:tc>
    </w:tr>
  </w:tbl>
  <w:p w14:paraId="2E417206" w14:textId="77777777" w:rsidR="00DC3433" w:rsidRDefault="00107223">
    <w:pPr>
      <w:rPr>
        <w:rFonts w:ascii="Times New Roman" w:hAnsi="Times New Roman"/>
        <w:snapToGrid w:val="0"/>
        <w:vanish/>
        <w:w w:val="0"/>
        <w:sz w:val="0"/>
        <w:szCs w:val="0"/>
        <w:u w:color="000000"/>
        <w:bdr w:val="none" w:sz="0" w:space="0" w:color="000000"/>
        <w:shd w:val="clear" w:color="000000" w:fill="000000"/>
        <w:lang w:val="x-none" w:eastAsia="x-none" w:bidi="x-none"/>
      </w:rPr>
    </w:pPr>
    <w:r>
      <w:rPr>
        <w:noProof/>
        <w:lang w:val="it-IT" w:eastAsia="zh-CN"/>
      </w:rPr>
      <w:drawing>
        <wp:anchor distT="0" distB="0" distL="114300" distR="114300" simplePos="0" relativeHeight="251658243" behindDoc="1" locked="0" layoutInCell="1" allowOverlap="1" wp14:anchorId="1AB2C496" wp14:editId="07777777">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58245" behindDoc="1" locked="0" layoutInCell="1" allowOverlap="1" wp14:anchorId="69DB63D5" wp14:editId="07777777">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909A6C" w14:textId="77777777" w:rsidR="00DC3433" w:rsidRDefault="00107223">
    <w:r>
      <w:rPr>
        <w:noProof/>
        <w:lang w:val="it-IT" w:eastAsia="zh-CN"/>
      </w:rPr>
      <w:drawing>
        <wp:anchor distT="0" distB="0" distL="114300" distR="114300" simplePos="0" relativeHeight="251658242" behindDoc="1" locked="0" layoutInCell="1" allowOverlap="1" wp14:anchorId="19044B13" wp14:editId="07777777">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sidR="00F33E58">
      <w:rPr>
        <w:noProof/>
        <w:lang w:val="it-IT" w:eastAsia="zh-CN"/>
      </w:rPr>
      <mc:AlternateContent>
        <mc:Choice Requires="wps">
          <w:drawing>
            <wp:anchor distT="4294967294" distB="4294967294" distL="114300" distR="114300" simplePos="0" relativeHeight="251658241" behindDoc="0" locked="0" layoutInCell="1" allowOverlap="1" wp14:anchorId="7435C5B2" wp14:editId="07777777">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rto="http://schemas.microsoft.com/office/word/2006/arto" xmlns:pic="http://schemas.openxmlformats.org/drawingml/2006/pictur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a="http://schemas.openxmlformats.org/drawingml/2006/main" xmlns:pic="http://schemas.openxmlformats.org/drawingml/2006/picture" xmlns:a14="http://schemas.microsoft.com/office/drawing/2010/main" xmlns:wp14="http://schemas.microsoft.com/office/word/2010/wordml">
          <w:pict w14:anchorId="1113313F">
            <v:line id="Line 35"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4B19EC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">
              <w10:wrap anchory="page"/>
            </v:line>
          </w:pict>
        </mc:Fallback>
      </mc:AlternateContent>
    </w:r>
    <w:r w:rsidR="00F33E58">
      <w:rPr>
        <w:noProof/>
        <w:lang w:val="it-IT" w:eastAsia="zh-CN"/>
      </w:rPr>
      <mc:AlternateContent>
        <mc:Choice Requires="wps">
          <w:drawing>
            <wp:anchor distT="4294967294" distB="4294967294" distL="114300" distR="114300" simplePos="0" relativeHeight="251658240" behindDoc="0" locked="0" layoutInCell="1" allowOverlap="1" wp14:anchorId="558F1FE6" wp14:editId="07777777">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arto="http://schemas.microsoft.com/office/word/2006/arto" xmlns:pic="http://schemas.openxmlformats.org/drawingml/2006/pictur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a="http://schemas.openxmlformats.org/drawingml/2006/main" xmlns:pic="http://schemas.openxmlformats.org/drawingml/2006/picture" xmlns:a14="http://schemas.microsoft.com/office/drawing/2010/main" xmlns:wp14="http://schemas.microsoft.com/office/word/2010/wordml">
          <w:pict w14:anchorId="3ACEAB42">
            <v:line id="Line 34"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spid="_x0000_s1026" strokeweight=".03739mm" from="-.05pt,35.85pt" to="557.95pt,35.85pt" w14:anchorId="7FED25A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"/>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7EA67CF"/>
    <w:multiLevelType w:val="hybridMultilevel"/>
    <w:tmpl w:val="FFFFFFFF"/>
    <w:lvl w:ilvl="0" w:tplc="865039BE">
      <w:start w:val="1"/>
      <w:numFmt w:val="bullet"/>
      <w:lvlText w:val=""/>
      <w:lvlJc w:val="left"/>
      <w:pPr>
        <w:ind w:left="720" w:hanging="360"/>
      </w:pPr>
      <w:rPr>
        <w:rFonts w:ascii="Symbol" w:hAnsi="Symbol" w:hint="default"/>
      </w:rPr>
    </w:lvl>
    <w:lvl w:ilvl="1" w:tplc="84BE1000">
      <w:start w:val="1"/>
      <w:numFmt w:val="bullet"/>
      <w:lvlText w:val="o"/>
      <w:lvlJc w:val="left"/>
      <w:pPr>
        <w:ind w:left="1440" w:hanging="360"/>
      </w:pPr>
      <w:rPr>
        <w:rFonts w:ascii="Courier New" w:hAnsi="Courier New" w:hint="default"/>
      </w:rPr>
    </w:lvl>
    <w:lvl w:ilvl="2" w:tplc="1052791A">
      <w:start w:val="1"/>
      <w:numFmt w:val="bullet"/>
      <w:lvlText w:val=""/>
      <w:lvlJc w:val="left"/>
      <w:pPr>
        <w:ind w:left="2160" w:hanging="360"/>
      </w:pPr>
      <w:rPr>
        <w:rFonts w:ascii="Wingdings" w:hAnsi="Wingdings" w:hint="default"/>
      </w:rPr>
    </w:lvl>
    <w:lvl w:ilvl="3" w:tplc="508454E6">
      <w:start w:val="1"/>
      <w:numFmt w:val="bullet"/>
      <w:lvlText w:val=""/>
      <w:lvlJc w:val="left"/>
      <w:pPr>
        <w:ind w:left="2880" w:hanging="360"/>
      </w:pPr>
      <w:rPr>
        <w:rFonts w:ascii="Symbol" w:hAnsi="Symbol" w:hint="default"/>
      </w:rPr>
    </w:lvl>
    <w:lvl w:ilvl="4" w:tplc="83B4F1F4">
      <w:start w:val="1"/>
      <w:numFmt w:val="bullet"/>
      <w:lvlText w:val="o"/>
      <w:lvlJc w:val="left"/>
      <w:pPr>
        <w:ind w:left="3600" w:hanging="360"/>
      </w:pPr>
      <w:rPr>
        <w:rFonts w:ascii="Courier New" w:hAnsi="Courier New" w:hint="default"/>
      </w:rPr>
    </w:lvl>
    <w:lvl w:ilvl="5" w:tplc="C57486AC">
      <w:start w:val="1"/>
      <w:numFmt w:val="bullet"/>
      <w:lvlText w:val=""/>
      <w:lvlJc w:val="left"/>
      <w:pPr>
        <w:ind w:left="4320" w:hanging="360"/>
      </w:pPr>
      <w:rPr>
        <w:rFonts w:ascii="Wingdings" w:hAnsi="Wingdings" w:hint="default"/>
      </w:rPr>
    </w:lvl>
    <w:lvl w:ilvl="6" w:tplc="DC68430C">
      <w:start w:val="1"/>
      <w:numFmt w:val="bullet"/>
      <w:lvlText w:val=""/>
      <w:lvlJc w:val="left"/>
      <w:pPr>
        <w:ind w:left="5040" w:hanging="360"/>
      </w:pPr>
      <w:rPr>
        <w:rFonts w:ascii="Symbol" w:hAnsi="Symbol" w:hint="default"/>
      </w:rPr>
    </w:lvl>
    <w:lvl w:ilvl="7" w:tplc="A1328540">
      <w:start w:val="1"/>
      <w:numFmt w:val="bullet"/>
      <w:lvlText w:val="o"/>
      <w:lvlJc w:val="left"/>
      <w:pPr>
        <w:ind w:left="5760" w:hanging="360"/>
      </w:pPr>
      <w:rPr>
        <w:rFonts w:ascii="Courier New" w:hAnsi="Courier New" w:hint="default"/>
      </w:rPr>
    </w:lvl>
    <w:lvl w:ilvl="8" w:tplc="88908A8C">
      <w:start w:val="1"/>
      <w:numFmt w:val="bullet"/>
      <w:lvlText w:val=""/>
      <w:lvlJc w:val="left"/>
      <w:pPr>
        <w:ind w:left="6480" w:hanging="360"/>
      </w:pPr>
      <w:rPr>
        <w:rFonts w:ascii="Wingdings" w:hAnsi="Wingdings" w:hint="default"/>
      </w:rPr>
    </w:lvl>
  </w:abstractNum>
  <w:abstractNum w:abstractNumId="1" w15:restartNumberingAfterBreak="0">
    <w:nsid w:val="73FC6807"/>
    <w:multiLevelType w:val="hybridMultilevel"/>
    <w:tmpl w:val="55725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
    <w:lvlOverride w:ilvl="0"/>
    <w:lvlOverride w:ilvl="1"/>
    <w:lvlOverride w:ilvl="2"/>
    <w:lvlOverride w:ilvl="3"/>
    <w:lvlOverride w:ilvl="4"/>
    <w:lvlOverride w:ilvl="5"/>
    <w:lvlOverride w:ilvl="6"/>
    <w:lvlOverride w:ilvl="7"/>
    <w:lvlOverride w:ilvl="8"/>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trackRevisions/>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ExNLO0MDQwNDEwN7ZQ0lEKTi0uzszPAykwrAUAFT0BMiwAAAA="/>
  </w:docVars>
  <w:rsids>
    <w:rsidRoot w:val="60C5ADAA"/>
    <w:rsid w:val="00033298"/>
    <w:rsid w:val="00035AAB"/>
    <w:rsid w:val="000C75C1"/>
    <w:rsid w:val="000E61B5"/>
    <w:rsid w:val="00107223"/>
    <w:rsid w:val="001F31EC"/>
    <w:rsid w:val="002207C5"/>
    <w:rsid w:val="00236E4E"/>
    <w:rsid w:val="00373870"/>
    <w:rsid w:val="003B51EA"/>
    <w:rsid w:val="00440C48"/>
    <w:rsid w:val="004A26B2"/>
    <w:rsid w:val="0055651B"/>
    <w:rsid w:val="0063202A"/>
    <w:rsid w:val="00747590"/>
    <w:rsid w:val="00755B5A"/>
    <w:rsid w:val="009314F5"/>
    <w:rsid w:val="00950AEE"/>
    <w:rsid w:val="009651BA"/>
    <w:rsid w:val="00CB45CA"/>
    <w:rsid w:val="00CE03B9"/>
    <w:rsid w:val="00DC3433"/>
    <w:rsid w:val="00EC52F4"/>
    <w:rsid w:val="00F33E58"/>
    <w:rsid w:val="0699A305"/>
    <w:rsid w:val="5AF91D68"/>
    <w:rsid w:val="60C5AD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EA8578"/>
  <w15:chartTrackingRefBased/>
  <w15:docId w15:val="{3F654D13-BE6A-467F-9FCF-862313269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pPr>
      <w:tabs>
        <w:tab w:val="center" w:pos="4819"/>
        <w:tab w:val="right" w:pos="9638"/>
      </w:tabs>
      <w:spacing w:after="0" w:line="240" w:lineRule="auto"/>
    </w:pPr>
    <w:rPr>
      <w:rFonts w:eastAsiaTheme="minorEastAsia"/>
      <w:lang w:val="en-US" w:eastAsia="zh-CN"/>
    </w:rPr>
  </w:style>
  <w:style w:type="character" w:customStyle="1" w:styleId="FooterChar">
    <w:name w:val="Footer Char"/>
    <w:basedOn w:val="DefaultParagraphFont"/>
    <w:link w:val="Footer"/>
    <w:rPr>
      <w:rFonts w:eastAsiaTheme="minorEastAsia"/>
      <w:lang w:val="en-US" w:eastAsia="zh-CN"/>
    </w:rPr>
  </w:style>
  <w:style w:type="paragraph" w:customStyle="1" w:styleId="04FOOTER">
    <w:name w:val="04_FOOTER"/>
    <w:basedOn w:val="Normal"/>
    <w:pPr>
      <w:spacing w:after="0" w:line="160" w:lineRule="exact"/>
    </w:pPr>
    <w:rPr>
      <w:rFonts w:ascii="Arial" w:eastAsia="Times New Roman" w:hAnsi="Arial" w:cs="Times New Roman"/>
      <w:color w:val="000000"/>
      <w:sz w:val="14"/>
      <w:szCs w:val="20"/>
      <w:lang w:val="en-US" w:eastAsia="it-IT"/>
    </w:rPr>
  </w:style>
  <w:style w:type="character" w:styleId="Hyperlink">
    <w:name w:val="Hyperlink"/>
    <w:unhideWhenUsed/>
    <w:rPr>
      <w:color w:val="0000FF"/>
      <w:u w:val="single"/>
    </w:rPr>
  </w:style>
  <w:style w:type="character" w:customStyle="1" w:styleId="s17">
    <w:name w:val="s17"/>
    <w:basedOn w:val="DefaultParagraphFont"/>
  </w:style>
  <w:style w:type="paragraph" w:customStyle="1" w:styleId="01TESTO">
    <w:name w:val="01_TESTO"/>
    <w:basedOn w:val="Normal"/>
    <w:pPr>
      <w:spacing w:after="0" w:line="300" w:lineRule="exact"/>
    </w:pPr>
    <w:rPr>
      <w:rFonts w:ascii="Arial" w:eastAsia="Times New Roman" w:hAnsi="Arial" w:cs="Times New Roman"/>
      <w:color w:val="000000"/>
      <w:sz w:val="19"/>
      <w:szCs w:val="20"/>
      <w:lang w:val="en-US" w:eastAsia="it-IT"/>
    </w:rPr>
  </w:style>
  <w:style w:type="paragraph" w:styleId="HTMLPreformatted">
    <w:name w:val="HTML Preformatted"/>
    <w:basedOn w:val="Normal"/>
    <w:link w:val="HTMLPreformatted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Pr>
      <w:rFonts w:ascii="Courier New" w:eastAsia="Times New Roman" w:hAnsi="Courier New" w:cs="Courier New"/>
      <w:sz w:val="20"/>
      <w:szCs w:val="20"/>
      <w:lang w:eastAsia="en-GB"/>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paragraph" w:styleId="ListParagraph">
    <w:name w:val="List Paragraph"/>
    <w:basedOn w:val="Normal"/>
    <w:uiPriority w:val="34"/>
    <w:qFormat/>
    <w:pPr>
      <w:spacing w:after="0" w:line="240" w:lineRule="auto"/>
      <w:ind w:left="720"/>
      <w:contextualSpacing/>
    </w:pPr>
    <w:rPr>
      <w:rFonts w:ascii="Calibri" w:eastAsia="Calibri" w:hAnsi="Calibri" w:cs="Times New Roman"/>
      <w:lang w:val="en-US"/>
    </w:rPr>
  </w:style>
  <w:style w:type="character" w:styleId="CommentReference">
    <w:name w:val="annotation reference"/>
    <w:rPr>
      <w:sz w:val="16"/>
      <w:szCs w:val="16"/>
    </w:rPr>
  </w:style>
  <w:style w:type="paragraph" w:styleId="CommentText">
    <w:name w:val="annotation text"/>
    <w:basedOn w:val="Normal"/>
    <w:link w:val="CommentTextChar"/>
    <w:pPr>
      <w:spacing w:after="0" w:line="300" w:lineRule="exact"/>
    </w:pPr>
    <w:rPr>
      <w:rFonts w:ascii="Gill Sans MT" w:eastAsia="Times New Roman" w:hAnsi="Gill Sans MT" w:cs="Times New Roman"/>
      <w:color w:val="000000"/>
      <w:sz w:val="20"/>
      <w:szCs w:val="20"/>
      <w:lang w:val="it-IT" w:eastAsia="it-IT"/>
    </w:rPr>
  </w:style>
  <w:style w:type="character" w:customStyle="1" w:styleId="CommentTextChar">
    <w:name w:val="Comment Text Char"/>
    <w:basedOn w:val="DefaultParagraphFont"/>
    <w:link w:val="CommentText"/>
    <w:rPr>
      <w:rFonts w:ascii="Gill Sans MT" w:eastAsia="Times New Roman" w:hAnsi="Gill Sans MT" w:cs="Times New Roman"/>
      <w:color w:val="000000"/>
      <w:sz w:val="20"/>
      <w:szCs w:val="20"/>
      <w:lang w:val="it-IT" w:eastAsia="it-IT"/>
    </w:rPr>
  </w:style>
  <w:style w:type="paragraph" w:styleId="Header">
    <w:name w:val="header"/>
    <w:basedOn w:val="Normal"/>
    <w:link w:val="HeaderChar"/>
    <w:uiPriority w:val="99"/>
    <w:semiHidden/>
    <w:unhideWhenUsed/>
    <w:rsid w:val="0055651B"/>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55651B"/>
  </w:style>
  <w:style w:type="character" w:styleId="UnresolvedMention">
    <w:name w:val="Unresolved Mention"/>
    <w:basedOn w:val="DefaultParagraphFont"/>
    <w:uiPriority w:val="99"/>
    <w:semiHidden/>
    <w:unhideWhenUsed/>
    <w:rsid w:val="0063202A"/>
    <w:rPr>
      <w:color w:val="605E5C"/>
      <w:shd w:val="clear" w:color="auto" w:fill="E1DFDD"/>
    </w:rPr>
  </w:style>
  <w:style w:type="paragraph" w:styleId="Revision">
    <w:name w:val="Revision"/>
    <w:hidden/>
    <w:uiPriority w:val="99"/>
    <w:semiHidden/>
    <w:rsid w:val="009651B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86248825">
      <w:bodyDiv w:val="1"/>
      <w:marLeft w:val="0"/>
      <w:marRight w:val="0"/>
      <w:marTop w:val="0"/>
      <w:marBottom w:val="0"/>
      <w:divBdr>
        <w:top w:val="none" w:sz="0" w:space="0" w:color="auto"/>
        <w:left w:val="none" w:sz="0" w:space="0" w:color="auto"/>
        <w:bottom w:val="none" w:sz="0" w:space="0" w:color="auto"/>
        <w:right w:val="none" w:sz="0" w:space="0" w:color="auto"/>
      </w:divBdr>
      <w:divsChild>
        <w:div w:id="1583024690">
          <w:marLeft w:val="0"/>
          <w:marRight w:val="0"/>
          <w:marTop w:val="0"/>
          <w:marBottom w:val="0"/>
          <w:divBdr>
            <w:top w:val="none" w:sz="0" w:space="0" w:color="auto"/>
            <w:left w:val="none" w:sz="0" w:space="0" w:color="auto"/>
            <w:bottom w:val="none" w:sz="0" w:space="0" w:color="auto"/>
            <w:right w:val="none" w:sz="0" w:space="0" w:color="auto"/>
          </w:divBdr>
        </w:div>
      </w:divsChild>
    </w:div>
    <w:div w:id="1826050427">
      <w:bodyDiv w:val="1"/>
      <w:marLeft w:val="0"/>
      <w:marRight w:val="0"/>
      <w:marTop w:val="0"/>
      <w:marBottom w:val="0"/>
      <w:divBdr>
        <w:top w:val="none" w:sz="0" w:space="0" w:color="auto"/>
        <w:left w:val="none" w:sz="0" w:space="0" w:color="auto"/>
        <w:bottom w:val="none" w:sz="0" w:space="0" w:color="auto"/>
        <w:right w:val="none" w:sz="0" w:space="0" w:color="auto"/>
      </w:divBdr>
    </w:div>
    <w:div w:id="2006323462">
      <w:bodyDiv w:val="1"/>
      <w:marLeft w:val="0"/>
      <w:marRight w:val="0"/>
      <w:marTop w:val="0"/>
      <w:marBottom w:val="0"/>
      <w:divBdr>
        <w:top w:val="none" w:sz="0" w:space="0" w:color="auto"/>
        <w:left w:val="none" w:sz="0" w:space="0" w:color="auto"/>
        <w:bottom w:val="none" w:sz="0" w:space="0" w:color="auto"/>
        <w:right w:val="none" w:sz="0" w:space="0" w:color="auto"/>
      </w:divBdr>
    </w:div>
    <w:div w:id="2012180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cid:image001.gif@01D123A8.097F9890" TargetMode="External"/><Relationship Id="rId18" Type="http://schemas.openxmlformats.org/officeDocument/2006/relationships/image" Target="media/image3.png"/><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image" Target="media/image4.png"/><Relationship Id="rId7" Type="http://schemas.openxmlformats.org/officeDocument/2006/relationships/webSettings" Target="webSettings.xml"/><Relationship Id="rId12" Type="http://schemas.openxmlformats.org/officeDocument/2006/relationships/image" Target="media/image1.png"/><Relationship Id="rId17" Type="http://schemas.openxmlformats.org/officeDocument/2006/relationships/hyperlink" Target="https://www.youtube.com/user/Caseatwork" TargetMode="External"/><Relationship Id="rId25" Type="http://schemas.openxmlformats.org/officeDocument/2006/relationships/hyperlink" Target="mailto:lutz@copestone.uk.com" TargetMode="External"/><Relationship Id="rId2" Type="http://schemas.openxmlformats.org/officeDocument/2006/relationships/customXml" Target="../customXml/item2.xml"/><Relationship Id="rId16" Type="http://schemas.openxmlformats.org/officeDocument/2006/relationships/image" Target="cid:image002.gif@01D123A8.097F9890" TargetMode="External"/><Relationship Id="rId20" Type="http://schemas.openxmlformats.org/officeDocument/2006/relationships/hyperlink" Target="https://www.linkedin.com/company/case-construction-equipment"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facebook.com/caseconstructionequipment" TargetMode="External"/><Relationship Id="rId24" Type="http://schemas.openxmlformats.org/officeDocument/2006/relationships/hyperlink" Target="file:///C:/Users/User/Dropbox/Nuria/AppData/Local/Microsoft/Windows/Temporary%20Internet%20Files/Content.Outlook/3POTRISZ/www.cnhindustrial.com" TargetMode="External"/><Relationship Id="rId5" Type="http://schemas.openxmlformats.org/officeDocument/2006/relationships/styles" Target="styles.xml"/><Relationship Id="rId15" Type="http://schemas.openxmlformats.org/officeDocument/2006/relationships/image" Target="media/image2.png"/><Relationship Id="rId23" Type="http://schemas.openxmlformats.org/officeDocument/2006/relationships/hyperlink" Target="http://www.casece.com/" TargetMode="External"/><Relationship Id="rId28" Type="http://schemas.openxmlformats.org/officeDocument/2006/relationships/header" Target="header2.xml"/><Relationship Id="rId10" Type="http://schemas.openxmlformats.org/officeDocument/2006/relationships/hyperlink" Target="http://www.casecetools.com/press-kit" TargetMode="External"/><Relationship Id="rId19" Type="http://schemas.openxmlformats.org/officeDocument/2006/relationships/image" Target="cid:image003.gif@01D123A8.097F9890" TargetMode="External"/><Relationship Id="rId31"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twitter.com/#!/casece" TargetMode="External"/><Relationship Id="rId22" Type="http://schemas.openxmlformats.org/officeDocument/2006/relationships/image" Target="cid:image004.gif@01D123A8.097F9890" TargetMode="External"/><Relationship Id="rId27" Type="http://schemas.openxmlformats.org/officeDocument/2006/relationships/footer" Target="footer1.xm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SharedWithUsers xmlns="ee50a320-7cab-480e-8dab-74586aaed348">
      <UserInfo>
        <DisplayName>Rakhee Rathod</DisplayName>
        <AccountId>55</AccountId>
        <AccountType/>
      </UserInfo>
      <UserInfo>
        <DisplayName>Audrey Shulman</DisplayName>
        <AccountId>23</AccountId>
        <AccountType/>
      </UserInfo>
      <UserInfo>
        <DisplayName>Pete Bayliss</DisplayName>
        <AccountId>22</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3" ma:contentTypeDescription="Create a new document." ma:contentTypeScope="" ma:versionID="d94ce01d13cf6aeed9d78da34379a75c">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d592912916fc60b2444693f9b198fca1"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A7DC714-75D3-4383-80A7-A16D2D1EC0DE}">
  <ds:schemaRefs>
    <ds:schemaRef ds:uri="http://purl.org/dc/dcmitype/"/>
    <ds:schemaRef ds:uri="http://purl.org/dc/elements/1.1/"/>
    <ds:schemaRef ds:uri="http://schemas.microsoft.com/office/2006/documentManagement/types"/>
    <ds:schemaRef ds:uri="http://schemas.microsoft.com/office/2006/metadata/properties"/>
    <ds:schemaRef ds:uri="http://schemas.microsoft.com/office/infopath/2007/PartnerControls"/>
    <ds:schemaRef ds:uri="http://schemas.openxmlformats.org/package/2006/metadata/core-properties"/>
    <ds:schemaRef ds:uri="http://www.w3.org/XML/1998/namespace"/>
    <ds:schemaRef ds:uri="ee50a320-7cab-480e-8dab-74586aaed348"/>
    <ds:schemaRef ds:uri="ae82bc55-adb9-499f-a89d-8cc34ff9b62e"/>
    <ds:schemaRef ds:uri="http://purl.org/dc/terms/"/>
  </ds:schemaRefs>
</ds:datastoreItem>
</file>

<file path=customXml/itemProps2.xml><?xml version="1.0" encoding="utf-8"?>
<ds:datastoreItem xmlns:ds="http://schemas.openxmlformats.org/officeDocument/2006/customXml" ds:itemID="{22B52CC4-93EA-4EE4-8018-56BF4C08397C}">
  <ds:schemaRefs>
    <ds:schemaRef ds:uri="http://schemas.microsoft.com/sharepoint/v3/contenttype/forms"/>
  </ds:schemaRefs>
</ds:datastoreItem>
</file>

<file path=customXml/itemProps3.xml><?xml version="1.0" encoding="utf-8"?>
<ds:datastoreItem xmlns:ds="http://schemas.openxmlformats.org/officeDocument/2006/customXml" ds:itemID="{A69B29DE-70CC-4926-AB27-DDCDFEDCE1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2</Pages>
  <Words>753</Words>
  <Characters>4296</Characters>
  <Application>Microsoft Office Word</Application>
  <DocSecurity>0</DocSecurity>
  <Lines>35</Lines>
  <Paragraphs>10</Paragraphs>
  <ScaleCrop>false</ScaleCrop>
  <Company/>
  <LinksUpToDate>false</LinksUpToDate>
  <CharactersWithSpaces>5039</CharactersWithSpaces>
  <SharedDoc>false</SharedDoc>
  <HLinks>
    <vt:vector size="24" baseType="variant">
      <vt:variant>
        <vt:i4>6357019</vt:i4>
      </vt:variant>
      <vt:variant>
        <vt:i4>12</vt:i4>
      </vt:variant>
      <vt:variant>
        <vt:i4>0</vt:i4>
      </vt:variant>
      <vt:variant>
        <vt:i4>5</vt:i4>
      </vt:variant>
      <vt:variant>
        <vt:lpwstr>mailto:lutz@copestone.uk.com</vt:lpwstr>
      </vt:variant>
      <vt:variant>
        <vt:lpwstr/>
      </vt:variant>
      <vt:variant>
        <vt:i4>3801202</vt:i4>
      </vt:variant>
      <vt:variant>
        <vt:i4>9</vt:i4>
      </vt:variant>
      <vt:variant>
        <vt:i4>0</vt:i4>
      </vt:variant>
      <vt:variant>
        <vt:i4>5</vt:i4>
      </vt:variant>
      <vt:variant>
        <vt:lpwstr>C:\Users\User\Dropbox\Nuria\AppData\Local\Microsoft\Windows\Temporary Internet Files\Content.Outlook\3POTRISZ\www.cnhindustrial.com</vt:lpwstr>
      </vt:variant>
      <vt:variant>
        <vt:lpwstr/>
      </vt:variant>
      <vt:variant>
        <vt:i4>3539007</vt:i4>
      </vt:variant>
      <vt:variant>
        <vt:i4>6</vt:i4>
      </vt:variant>
      <vt:variant>
        <vt:i4>0</vt:i4>
      </vt:variant>
      <vt:variant>
        <vt:i4>5</vt:i4>
      </vt:variant>
      <vt:variant>
        <vt:lpwstr>http://www.casece.com/</vt:lpwstr>
      </vt:variant>
      <vt:variant>
        <vt:lpwstr/>
      </vt:variant>
      <vt:variant>
        <vt:i4>4653081</vt:i4>
      </vt:variant>
      <vt:variant>
        <vt:i4>3</vt:i4>
      </vt:variant>
      <vt:variant>
        <vt:i4>0</vt:i4>
      </vt:variant>
      <vt:variant>
        <vt:i4>5</vt:i4>
      </vt:variant>
      <vt:variant>
        <vt:lpwstr>http://www.casecetools.com/press-kit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Brad Kilner</cp:lastModifiedBy>
  <cp:revision>18</cp:revision>
  <dcterms:created xsi:type="dcterms:W3CDTF">2020-07-15T13:43:00Z</dcterms:created>
  <dcterms:modified xsi:type="dcterms:W3CDTF">2020-07-17T08:32:00Z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ies>
</file>