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D566D2" w:rsidR="00D566D2" w:rsidP="16A31E01" w:rsidRDefault="00D566D2" w14:paraId="4162E0F6" w14:textId="77777777" w14:noSpellErr="1">
      <w:pPr>
        <w:rPr>
          <w:rFonts w:ascii="Gill Sans MT" w:hAnsi="Gill Sans MT" w:cs="Arial"/>
          <w:b w:val="1"/>
          <w:bCs w:val="1"/>
          <w:sz w:val="28"/>
          <w:szCs w:val="28"/>
        </w:rPr>
      </w:pPr>
      <w:bookmarkStart w:name="_Hlk37086151" w:id="0"/>
      <w:r w:rsidRPr="16A31E01" w:rsidR="00D566D2">
        <w:rPr>
          <w:rFonts w:ascii="Gill Sans MT" w:hAnsi="Gill Sans MT" w:cs="Arial"/>
          <w:b w:val="1"/>
          <w:bCs w:val="1"/>
          <w:sz w:val="28"/>
          <w:szCs w:val="28"/>
        </w:rPr>
        <w:t>CASE lanza en el mercado norteamericano la primera retrocargadora totalmente eléctrica del mundo</w:t>
      </w:r>
    </w:p>
    <w:p w:rsidRPr="00D566D2" w:rsidR="00D566D2" w:rsidP="00D566D2" w:rsidRDefault="00D566D2" w14:paraId="095D06CD" w14:textId="77777777">
      <w:pPr>
        <w:rPr>
          <w:rFonts w:ascii="Gill Sans MT" w:hAnsi="Gill Sans MT" w:cs="Arial"/>
          <w:b/>
          <w:sz w:val="22"/>
          <w:szCs w:val="22"/>
        </w:rPr>
      </w:pPr>
    </w:p>
    <w:p w:rsidRPr="00D566D2" w:rsidR="00D566D2" w:rsidP="2B7A7BFA" w:rsidRDefault="00D566D2" w14:paraId="50DA9A3F" w14:textId="5537A477">
      <w:pPr>
        <w:rPr>
          <w:rFonts w:ascii="Gill Sans MT" w:hAnsi="Gill Sans MT" w:cs="Arial"/>
          <w:i w:val="1"/>
          <w:iCs w:val="1"/>
          <w:sz w:val="22"/>
          <w:szCs w:val="22"/>
        </w:rPr>
      </w:pPr>
      <w:r w:rsidRPr="2B7A7BFA" w:rsidR="00D566D2">
        <w:rPr>
          <w:rFonts w:ascii="Gill Sans MT" w:hAnsi="Gill Sans MT" w:cs="Arial"/>
          <w:i w:val="1"/>
          <w:iCs w:val="1"/>
          <w:sz w:val="22"/>
          <w:szCs w:val="22"/>
        </w:rPr>
        <w:t xml:space="preserve">Turín </w:t>
      </w:r>
      <w:r w:rsidRPr="2B7A7BFA" w:rsidR="5262A4E9">
        <w:rPr>
          <w:rFonts w:ascii="Gill Sans MT" w:hAnsi="Gill Sans MT" w:cs="Arial"/>
          <w:i w:val="1"/>
          <w:iCs w:val="1"/>
          <w:sz w:val="22"/>
          <w:szCs w:val="22"/>
        </w:rPr>
        <w:t>5</w:t>
      </w:r>
      <w:r w:rsidRPr="2B7A7BFA" w:rsidR="00D566D2">
        <w:rPr>
          <w:rFonts w:ascii="Gill Sans MT" w:hAnsi="Gill Sans MT" w:cs="Arial"/>
          <w:i w:val="1"/>
          <w:iCs w:val="1"/>
          <w:sz w:val="22"/>
          <w:szCs w:val="22"/>
        </w:rPr>
        <w:t>June 2020</w:t>
      </w:r>
    </w:p>
    <w:p w:rsidRPr="00D566D2" w:rsidR="00D566D2" w:rsidP="00D566D2" w:rsidRDefault="00D566D2" w14:paraId="6D5C506E" w14:textId="77777777">
      <w:pPr>
        <w:rPr>
          <w:rFonts w:ascii="Gill Sans MT" w:hAnsi="Gill Sans MT" w:cs="Arial"/>
          <w:sz w:val="22"/>
          <w:szCs w:val="22"/>
        </w:rPr>
      </w:pPr>
    </w:p>
    <w:p w:rsidRPr="00D566D2" w:rsidR="00D566D2" w:rsidP="00D566D2" w:rsidRDefault="00D566D2" w14:paraId="09867B3C" w14:textId="77777777">
      <w:pPr>
        <w:rPr>
          <w:rFonts w:ascii="Gill Sans MT" w:hAnsi="Gill Sans MT" w:cs="Arial"/>
          <w:sz w:val="22"/>
          <w:szCs w:val="22"/>
        </w:rPr>
      </w:pPr>
      <w:r w:rsidRPr="00D566D2">
        <w:rPr>
          <w:rFonts w:ascii="Gill Sans MT" w:hAnsi="Gill Sans MT" w:cs="Arial"/>
          <w:sz w:val="22"/>
          <w:szCs w:val="22"/>
        </w:rPr>
        <w:t>En CONEXPO 2020, CASE Construction Equipment lanzó la primera retrocargadora totalmente eléctrica de la industria de la construcción. El prototipo 580 EV (Electric Vehicle), apodado Proyecto Zeus, ofrece la misma potencia y rendimiento que una retrocargadora CASE alimentada con diésel, pero con cero emisiones y unos costes operativos considerablemente reducidos. Ya se han vendido dos máquinas a empresas de servicios públicos con sede en Estados Unidos y está previsto que este modelo siga siendo exclusivo del mercado norteamericano.</w:t>
      </w:r>
    </w:p>
    <w:p w:rsidRPr="00D566D2" w:rsidR="00D566D2" w:rsidP="00D566D2" w:rsidRDefault="00D566D2" w14:paraId="0732563C" w14:textId="77777777">
      <w:pPr>
        <w:rPr>
          <w:rFonts w:ascii="Gill Sans MT" w:hAnsi="Gill Sans MT" w:cs="Arial"/>
          <w:sz w:val="22"/>
          <w:szCs w:val="22"/>
        </w:rPr>
      </w:pPr>
    </w:p>
    <w:p w:rsidRPr="00D566D2" w:rsidR="00D566D2" w:rsidP="00D566D2" w:rsidRDefault="00D566D2" w14:paraId="3123006F" w14:textId="77777777">
      <w:pPr>
        <w:rPr>
          <w:rFonts w:ascii="Gill Sans MT" w:hAnsi="Gill Sans MT" w:cs="Arial"/>
          <w:sz w:val="22"/>
          <w:szCs w:val="22"/>
        </w:rPr>
      </w:pPr>
      <w:r w:rsidRPr="00D566D2">
        <w:rPr>
          <w:rFonts w:ascii="Gill Sans MT" w:hAnsi="Gill Sans MT" w:cs="Arial"/>
          <w:sz w:val="22"/>
          <w:szCs w:val="22"/>
        </w:rPr>
        <w:t>"Desde que, en 1957, CASE diseñó la primera retrocargadora ensamblada totalmente en fábrica, se ha mantenido a la cabeza de la innovación en retrocargadoras", dijo Egidio Galano, Gerente de Productos de la Gama Compacta de CASE Construction Equipment Europe. “La 580 EV continúa esta evolución y demuestra con un significativo paso al frente el amplio compromiso de CASE con un futuro de sostenibilidad en maquinaria de construcción". Con la producción de esta máquina prototipo, se hace cada vez más viable la electrificación de la maquinaria pesada de construcción en el mercado norteamericano".</w:t>
      </w:r>
    </w:p>
    <w:p w:rsidRPr="00D566D2" w:rsidR="00D566D2" w:rsidP="00D566D2" w:rsidRDefault="00D566D2" w14:paraId="26D4647D" w14:textId="77777777">
      <w:pPr>
        <w:rPr>
          <w:rFonts w:ascii="Gill Sans MT" w:hAnsi="Gill Sans MT" w:cs="Arial"/>
          <w:color w:val="auto"/>
          <w:sz w:val="22"/>
          <w:szCs w:val="22"/>
        </w:rPr>
      </w:pPr>
    </w:p>
    <w:p w:rsidRPr="00D566D2" w:rsidR="00D566D2" w:rsidP="00D566D2" w:rsidRDefault="00D566D2" w14:paraId="3D1FD1CC" w14:textId="77777777">
      <w:pPr>
        <w:rPr>
          <w:rFonts w:ascii="Gill Sans MT" w:hAnsi="Gill Sans MT" w:cs="Arial"/>
          <w:sz w:val="22"/>
          <w:szCs w:val="22"/>
        </w:rPr>
      </w:pPr>
      <w:r w:rsidRPr="00D566D2">
        <w:rPr>
          <w:rFonts w:ascii="Gill Sans MT" w:hAnsi="Gill Sans MT" w:cs="Arial"/>
          <w:color w:val="auto"/>
          <w:sz w:val="22"/>
          <w:szCs w:val="22"/>
        </w:rPr>
        <w:t xml:space="preserve">La 580 EV está alimentada por una batería de iones de litio de 480 voltios y 90 kilovatios hora. Se carga mediante cualquier conexión de 220 voltios/trifásica y tiene una duración de funcionamiento de alrededor de ocho horas, dependiendo de la aplicación. Como esta batería alimenta la cadena de tracción y los motores hidráulicos por separado, la fuerza de arranque es la misma que la de una máquina alimentada con diésel y el rendimiento general mejora durante </w:t>
      </w:r>
      <w:r w:rsidRPr="00D566D2">
        <w:rPr>
          <w:rFonts w:ascii="Gill Sans MT" w:hAnsi="Gill Sans MT" w:cs="Arial"/>
          <w:sz w:val="22"/>
          <w:szCs w:val="22"/>
        </w:rPr>
        <w:t>el funcionamiento simultáneo del cargador y la cadena de tracción.</w:t>
      </w:r>
    </w:p>
    <w:p w:rsidRPr="00D566D2" w:rsidR="00D566D2" w:rsidP="00D566D2" w:rsidRDefault="00D566D2" w14:paraId="08C05668" w14:textId="77777777">
      <w:pPr>
        <w:rPr>
          <w:rFonts w:ascii="Gill Sans MT" w:hAnsi="Gill Sans MT" w:cs="Arial"/>
          <w:sz w:val="22"/>
          <w:szCs w:val="22"/>
        </w:rPr>
      </w:pPr>
    </w:p>
    <w:p w:rsidRPr="00D566D2" w:rsidR="00D566D2" w:rsidP="00D566D2" w:rsidRDefault="00D566D2" w14:paraId="55BF7858" w14:textId="77777777">
      <w:pPr>
        <w:rPr>
          <w:rFonts w:ascii="Gill Sans MT" w:hAnsi="Gill Sans MT" w:cs="Arial"/>
          <w:sz w:val="22"/>
          <w:szCs w:val="22"/>
        </w:rPr>
      </w:pPr>
      <w:r w:rsidRPr="00D566D2">
        <w:rPr>
          <w:rFonts w:ascii="Gill Sans MT" w:hAnsi="Gill Sans MT" w:cs="Arial"/>
          <w:sz w:val="22"/>
          <w:szCs w:val="22"/>
        </w:rPr>
        <w:t xml:space="preserve">Al tiempo que permitirá reducir drásticamente la huella de carbono de las empresas, se estima que, con la 580 EV, las flotas pueden ahorrar hasta un 90% en costes de funcionamiento de las máquinas, gracias a la reducción o eliminación del gasto de gasóleo, aceite de motor, AdBlue y </w:t>
      </w:r>
      <w:r w:rsidRPr="00D566D2">
        <w:rPr>
          <w:rFonts w:ascii="Gill Sans MT" w:hAnsi="Gill Sans MT" w:cs="Arial"/>
          <w:sz w:val="22"/>
          <w:szCs w:val="22"/>
        </w:rPr>
        <w:lastRenderedPageBreak/>
        <w:t>de mantenimiento de motores a largo plazo. Además, la 580 EV integra de serie la solución CASE SiteWatch™.</w:t>
      </w:r>
    </w:p>
    <w:p w:rsidRPr="00D566D2" w:rsidR="00D566D2" w:rsidP="00D566D2" w:rsidRDefault="00D566D2" w14:paraId="2D78BA63" w14:textId="77777777">
      <w:pPr>
        <w:rPr>
          <w:rFonts w:ascii="Gill Sans MT" w:hAnsi="Gill Sans MT" w:cs="Arial"/>
          <w:sz w:val="22"/>
          <w:szCs w:val="22"/>
        </w:rPr>
      </w:pPr>
    </w:p>
    <w:p w:rsidRPr="00D566D2" w:rsidR="00D566D2" w:rsidP="00D566D2" w:rsidRDefault="00D566D2" w14:paraId="0B932975" w14:textId="3EB426DA">
      <w:pPr>
        <w:rPr>
          <w:rFonts w:ascii="Gill Sans MT" w:hAnsi="Gill Sans MT" w:cs="Arial"/>
          <w:sz w:val="22"/>
          <w:szCs w:val="22"/>
        </w:rPr>
      </w:pPr>
      <w:r w:rsidRPr="00D566D2">
        <w:rPr>
          <w:rFonts w:ascii="Gill Sans MT" w:hAnsi="Gill Sans MT" w:cs="Arial"/>
          <w:sz w:val="22"/>
          <w:szCs w:val="22"/>
        </w:rPr>
        <w:t xml:space="preserve">Todo esto se consigue sin perjuicio de las características distintivas que los operadores esperan de una retrocargadora de CASE, como explica Galano: "La 580 EV funciona y se maneja exactamente igual que una retrocargadora CASE tradicional. Esto resulta crucial cuando se trata de integrar tecnologías de vanguardia en cualquiera de las máquinas de CASE e implica que los operadores dispongan de la misma capacidad de excavación </w:t>
      </w:r>
      <w:r w:rsidRPr="00D566D2">
        <w:rPr>
          <w:rFonts w:ascii="Gill Sans MT" w:hAnsi="Gill Sans MT" w:cs="Arial"/>
          <w:color w:val="FF0000"/>
          <w:sz w:val="22"/>
          <w:szCs w:val="22"/>
          <w:highlight w:val="yellow"/>
        </w:rPr>
        <w:t>y</w:t>
      </w:r>
      <w:r w:rsidRPr="00D566D2">
        <w:rPr>
          <w:rFonts w:ascii="Gill Sans MT" w:hAnsi="Gill Sans MT" w:cs="Arial"/>
          <w:sz w:val="22"/>
          <w:szCs w:val="22"/>
        </w:rPr>
        <w:t xml:space="preserve"> elevación en un entorno de trabajo mucho más silencioso y libre de emisiones".</w:t>
      </w:r>
    </w:p>
    <w:p w:rsidRPr="00D566D2" w:rsidR="00D566D2" w:rsidP="00D566D2" w:rsidRDefault="00D566D2" w14:paraId="27AA178A" w14:textId="77777777">
      <w:pPr>
        <w:rPr>
          <w:rFonts w:ascii="Gill Sans MT" w:hAnsi="Gill Sans MT" w:cs="Arial"/>
          <w:sz w:val="22"/>
          <w:szCs w:val="22"/>
        </w:rPr>
      </w:pPr>
    </w:p>
    <w:p w:rsidRPr="00D566D2" w:rsidR="00D566D2" w:rsidP="00D566D2" w:rsidRDefault="00D566D2" w14:paraId="4355DF27" w14:textId="77777777">
      <w:pPr>
        <w:rPr>
          <w:rFonts w:ascii="Gill Sans MT" w:hAnsi="Gill Sans MT" w:cs="Arial"/>
          <w:sz w:val="22"/>
          <w:szCs w:val="22"/>
        </w:rPr>
      </w:pPr>
      <w:r w:rsidRPr="00D566D2">
        <w:rPr>
          <w:rFonts w:ascii="Gill Sans MT" w:hAnsi="Gill Sans MT" w:cs="Arial"/>
          <w:sz w:val="22"/>
          <w:szCs w:val="22"/>
        </w:rPr>
        <w:t xml:space="preserve">Al igual que </w:t>
      </w:r>
      <w:r w:rsidRPr="00D566D2">
        <w:rPr>
          <w:rFonts w:ascii="Gill Sans MT" w:hAnsi="Gill Sans MT" w:cs="Arial"/>
          <w:color w:val="FF0000"/>
          <w:sz w:val="22"/>
          <w:szCs w:val="22"/>
        </w:rPr>
        <w:t xml:space="preserve">para </w:t>
      </w:r>
      <w:r w:rsidRPr="00D566D2">
        <w:rPr>
          <w:rFonts w:ascii="Gill Sans MT" w:hAnsi="Gill Sans MT" w:cs="Arial"/>
          <w:sz w:val="22"/>
          <w:szCs w:val="22"/>
        </w:rPr>
        <w:t xml:space="preserve">ProjectTETRA, el prototipo de cargadora de neumáticos </w:t>
      </w:r>
      <w:r w:rsidRPr="00D566D2">
        <w:rPr>
          <w:rFonts w:ascii="Gill Sans MT" w:hAnsi="Gill Sans MT" w:cs="Arial"/>
          <w:color w:val="FF0000"/>
          <w:sz w:val="22"/>
          <w:szCs w:val="22"/>
        </w:rPr>
        <w:t xml:space="preserve">con </w:t>
      </w:r>
      <w:r w:rsidRPr="00D566D2">
        <w:rPr>
          <w:rFonts w:ascii="Gill Sans MT" w:hAnsi="Gill Sans MT" w:cs="Arial"/>
          <w:sz w:val="22"/>
          <w:szCs w:val="22"/>
        </w:rPr>
        <w:t>motor de metano que se lanzó en la feria bauma 2019, CASE ha contado con Michelin para los neumáticos de la 580 EV. Los neumáticos Michelin CrossGrip utilizados en esta máquina prototipo presentan un diseño de banda de rodadura no direccional, lo que se traduce en un manejo, comodidad y capacidad de carga excepcionales en superficies que van desde el asfalto hasta la nieve.</w:t>
      </w:r>
    </w:p>
    <w:p w:rsidRPr="00D566D2" w:rsidR="00D566D2" w:rsidP="00D566D2" w:rsidRDefault="00D566D2" w14:paraId="505EA2B9" w14:textId="77777777">
      <w:pPr>
        <w:rPr>
          <w:rFonts w:ascii="Gill Sans MT" w:hAnsi="Gill Sans MT" w:cs="Arial"/>
          <w:sz w:val="22"/>
          <w:szCs w:val="22"/>
        </w:rPr>
      </w:pPr>
    </w:p>
    <w:p w:rsidRPr="00D566D2" w:rsidR="00D566D2" w:rsidP="00D566D2" w:rsidRDefault="00D566D2" w14:paraId="59957EF4" w14:textId="77777777">
      <w:pPr>
        <w:rPr>
          <w:rFonts w:ascii="Gill Sans MT" w:hAnsi="Gill Sans MT" w:cs="Arial"/>
          <w:sz w:val="22"/>
          <w:szCs w:val="22"/>
        </w:rPr>
      </w:pPr>
      <w:r w:rsidRPr="00D566D2">
        <w:rPr>
          <w:rFonts w:ascii="Gill Sans MT" w:hAnsi="Gill Sans MT" w:cs="Arial"/>
          <w:sz w:val="22"/>
          <w:szCs w:val="22"/>
        </w:rPr>
        <w:t>La 580 EV marca el debut oficial de CASE en el mercado de la maquinaria de construcción eléctrica. En asociación con su empresa hermana FPT Industrial, CASE seguirá investigando opciones de electrificación y combustibles alternativos que hagan posible un futuro de maquinaria de construcción sostenible.</w:t>
      </w:r>
    </w:p>
    <w:bookmarkEnd w:id="0"/>
    <w:p w:rsidR="00D566D2" w:rsidP="00A66552" w:rsidRDefault="00D566D2" w14:paraId="7766BBAD" w14:textId="77777777">
      <w:pPr>
        <w:rPr>
          <w:rFonts w:ascii="Gill Sans MT" w:hAnsi="Gill Sans MT" w:cs="Arial"/>
          <w:b/>
          <w:bCs/>
          <w:sz w:val="20"/>
        </w:rPr>
      </w:pPr>
    </w:p>
    <w:p w:rsidRPr="00E23EE9" w:rsidR="00A66552" w:rsidP="00A66552" w:rsidRDefault="00A66552" w14:paraId="0E7F0207" w14:textId="6515262F">
      <w:pPr>
        <w:rPr>
          <w:rFonts w:ascii="Gill Sans MT" w:hAnsi="Gill Sans MT" w:cs="Arial"/>
          <w:b/>
          <w:bCs/>
          <w:sz w:val="20"/>
        </w:rPr>
      </w:pPr>
      <w:r w:rsidRPr="7D5BBEB0">
        <w:rPr>
          <w:rFonts w:ascii="Gill Sans MT" w:hAnsi="Gill Sans MT" w:cs="Arial"/>
          <w:b/>
          <w:bCs/>
          <w:sz w:val="20"/>
        </w:rPr>
        <w:t>Notas a los editores:</w:t>
      </w:r>
    </w:p>
    <w:p w:rsidRPr="005906D4" w:rsidR="00A66552" w:rsidP="00A66552" w:rsidRDefault="00A66552" w14:paraId="397D72C0" w14:textId="314899CC">
      <w:pPr>
        <w:pStyle w:val="style2"/>
        <w:spacing w:before="0" w:beforeAutospacing="0" w:after="0" w:afterAutospacing="0" w:line="300" w:lineRule="exact"/>
        <w:rPr>
          <w:rFonts w:ascii="Gill Sans MT" w:hAnsi="Gill Sans MT"/>
          <w:i/>
          <w:iCs/>
          <w:sz w:val="19"/>
          <w:szCs w:val="19"/>
        </w:rPr>
      </w:pPr>
      <w:r w:rsidRPr="7D5BBEB0">
        <w:rPr>
          <w:rFonts w:ascii="Gill Sans MT" w:hAnsi="Gill Sans MT"/>
          <w:i/>
          <w:iCs/>
          <w:sz w:val="19"/>
          <w:szCs w:val="19"/>
        </w:rPr>
        <w:t xml:space="preserve">En estos enlaces podrán descargar imágenes y vídeos en alta resolución: </w:t>
      </w:r>
      <w:hyperlink w:history="1" r:id="rId9">
        <w:r w:rsidRPr="005906D4" w:rsidR="005906D4">
          <w:rPr>
            <w:rStyle w:val="Hyperlink"/>
            <w:rFonts w:ascii="Gill Sans MT" w:hAnsi="Gill Sans MT"/>
          </w:rPr>
          <w:t>http://www.casecetools.com/Press-Kit/web_html/Catalog</w:t>
        </w:r>
      </w:hyperlink>
    </w:p>
    <w:p w:rsidRPr="005906D4" w:rsidR="00A66552" w:rsidP="00A66552" w:rsidRDefault="00A66552" w14:paraId="1CA81009" w14:textId="58CA6733">
      <w:pPr>
        <w:pStyle w:val="style2"/>
        <w:spacing w:line="300" w:lineRule="exact"/>
        <w:rPr>
          <w:rFonts w:ascii="Gill Sans MT" w:hAnsi="Gill Sans MT"/>
          <w:b/>
          <w:bCs/>
          <w:szCs w:val="19"/>
        </w:rPr>
      </w:pPr>
      <w:r w:rsidRPr="005906D4">
        <w:rPr>
          <w:rFonts w:ascii="Gill Sans MT" w:hAnsi="Gill Sans MT"/>
          <w:b/>
          <w:bCs/>
          <w:szCs w:val="19"/>
        </w:rPr>
        <w:t>Sigue a CASE en</w:t>
      </w:r>
      <w:r w:rsidR="005906D4">
        <w:rPr>
          <w:rFonts w:ascii="Gill Sans MT" w:hAnsi="Gill Sans MT"/>
          <w:b/>
          <w:bCs/>
          <w:szCs w:val="19"/>
        </w:rPr>
        <w:t>:</w:t>
      </w:r>
    </w:p>
    <w:p w:rsidRPr="00E23EE9" w:rsidR="00A66552" w:rsidP="00A66552" w:rsidRDefault="00A66552" w14:paraId="767BEC67" w14:textId="77777777">
      <w:pPr>
        <w:rPr>
          <w:rFonts w:ascii="Gill Sans MT" w:hAnsi="Gill Sans MT" w:eastAsia="Calibri"/>
        </w:rPr>
      </w:pPr>
      <w:r w:rsidR="00A66552">
        <w:drawing>
          <wp:inline wp14:editId="2B7A7BFA" wp14:anchorId="01CB1D95">
            <wp:extent cx="196850" cy="196850"/>
            <wp:effectExtent l="0" t="0" r="0" b="0"/>
            <wp:docPr id="1382196457" name="Picture 8" descr="cid:image001.gif@01D123A8.097F9890" title="">
              <a:hlinkClick r:id="R257315a13bd14d52"/>
            </wp:docPr>
            <wp:cNvGraphicFramePr>
              <a:graphicFrameLocks noChangeAspect="1"/>
            </wp:cNvGraphicFramePr>
            <a:graphic>
              <a:graphicData uri="http://schemas.openxmlformats.org/drawingml/2006/picture">
                <pic:pic>
                  <pic:nvPicPr>
                    <pic:cNvPr id="0" name="Picture 8"/>
                    <pic:cNvPicPr/>
                  </pic:nvPicPr>
                  <pic:blipFill>
                    <a:blip r:embed="R6d79f07b3ac54ee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6850" cy="196850"/>
                    </a:xfrm>
                    <a:prstGeom prst="rect">
                      <a:avLst/>
                    </a:prstGeom>
                  </pic:spPr>
                </pic:pic>
              </a:graphicData>
            </a:graphic>
          </wp:inline>
        </w:drawing>
      </w:r>
      <w:r w:rsidRPr="2B7A7BFA" w:rsidR="00A66552">
        <w:rPr>
          <w:rFonts w:ascii="Gill Sans MT" w:hAnsi="Gill Sans MT" w:eastAsia="Calibri"/>
        </w:rPr>
        <w:t xml:space="preserve">   </w:t>
      </w:r>
      <w:r w:rsidR="00A66552">
        <w:drawing>
          <wp:inline wp14:editId="668FDA56" wp14:anchorId="2BBE857B">
            <wp:extent cx="196850" cy="196850"/>
            <wp:effectExtent l="0" t="0" r="0" b="0"/>
            <wp:docPr id="412910612" name="Picture 9" descr="cid:image002.gif@01D123A8.097F9890" title="">
              <a:hlinkClick r:id="R0fdeebcdd0e94ace"/>
            </wp:docPr>
            <wp:cNvGraphicFramePr>
              <a:graphicFrameLocks noChangeAspect="1"/>
            </wp:cNvGraphicFramePr>
            <a:graphic>
              <a:graphicData uri="http://schemas.openxmlformats.org/drawingml/2006/picture">
                <pic:pic>
                  <pic:nvPicPr>
                    <pic:cNvPr id="0" name="Picture 9"/>
                    <pic:cNvPicPr/>
                  </pic:nvPicPr>
                  <pic:blipFill>
                    <a:blip r:embed="R6d3fd0d4b2234fc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6850" cy="196850"/>
                    </a:xfrm>
                    <a:prstGeom prst="rect">
                      <a:avLst/>
                    </a:prstGeom>
                  </pic:spPr>
                </pic:pic>
              </a:graphicData>
            </a:graphic>
          </wp:inline>
        </w:drawing>
      </w:r>
      <w:r w:rsidRPr="2B7A7BFA" w:rsidR="00A66552">
        <w:rPr>
          <w:rFonts w:ascii="Gill Sans MT" w:hAnsi="Gill Sans MT" w:eastAsia="Calibri"/>
        </w:rPr>
        <w:t xml:space="preserve">   </w:t>
      </w:r>
      <w:r w:rsidR="00A66552">
        <w:drawing>
          <wp:inline wp14:editId="0C7FBACE" wp14:anchorId="555D2234">
            <wp:extent cx="196850" cy="196850"/>
            <wp:effectExtent l="0" t="0" r="0" b="0"/>
            <wp:docPr id="357686043" name="Picture 10" descr="cid:image003.gif@01D123A8.097F9890" title="">
              <a:hlinkClick r:id="R5fed5a6eb9014078"/>
            </wp:docPr>
            <wp:cNvGraphicFramePr>
              <a:graphicFrameLocks noChangeAspect="1"/>
            </wp:cNvGraphicFramePr>
            <a:graphic>
              <a:graphicData uri="http://schemas.openxmlformats.org/drawingml/2006/picture">
                <pic:pic>
                  <pic:nvPicPr>
                    <pic:cNvPr id="0" name="Picture 10"/>
                    <pic:cNvPicPr/>
                  </pic:nvPicPr>
                  <pic:blipFill>
                    <a:blip r:embed="Rbab17efef4ec483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6850" cy="196850"/>
                    </a:xfrm>
                    <a:prstGeom prst="rect">
                      <a:avLst/>
                    </a:prstGeom>
                  </pic:spPr>
                </pic:pic>
              </a:graphicData>
            </a:graphic>
          </wp:inline>
        </w:drawing>
      </w:r>
      <w:r w:rsidRPr="2B7A7BFA" w:rsidR="00A66552">
        <w:rPr>
          <w:rFonts w:ascii="Gill Sans MT" w:hAnsi="Gill Sans MT" w:eastAsia="Calibri"/>
        </w:rPr>
        <w:t xml:space="preserve">   </w:t>
      </w:r>
      <w:r w:rsidR="00A66552">
        <w:drawing>
          <wp:inline wp14:editId="290A904F" wp14:anchorId="2C255079">
            <wp:extent cx="196850" cy="196850"/>
            <wp:effectExtent l="0" t="0" r="0" b="0"/>
            <wp:docPr id="2135332202" name="Picture 15" descr="cid:image004.gif@01D123A8.097F9890" title="">
              <a:hlinkClick r:id="R23928ce651be4e9d"/>
            </wp:docPr>
            <wp:cNvGraphicFramePr>
              <a:graphicFrameLocks noChangeAspect="1"/>
            </wp:cNvGraphicFramePr>
            <a:graphic>
              <a:graphicData uri="http://schemas.openxmlformats.org/drawingml/2006/picture">
                <pic:pic>
                  <pic:nvPicPr>
                    <pic:cNvPr id="0" name="Picture 15"/>
                    <pic:cNvPicPr/>
                  </pic:nvPicPr>
                  <pic:blipFill>
                    <a:blip r:embed="Rfe036ecb80af4e3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6850" cy="196850"/>
                    </a:xfrm>
                    <a:prstGeom prst="rect">
                      <a:avLst/>
                    </a:prstGeom>
                  </pic:spPr>
                </pic:pic>
              </a:graphicData>
            </a:graphic>
          </wp:inline>
        </w:drawing>
      </w:r>
    </w:p>
    <w:p w:rsidRPr="00E23EE9" w:rsidR="00A66552" w:rsidP="00A66552" w:rsidRDefault="00A66552" w14:paraId="0B292208" w14:textId="77777777">
      <w:pPr>
        <w:rPr>
          <w:rFonts w:ascii="Gill Sans MT" w:hAnsi="Gill Sans MT"/>
          <w:i/>
          <w:sz w:val="16"/>
        </w:rPr>
      </w:pPr>
      <w:r w:rsidRPr="00E23EE9">
        <w:rPr>
          <w:rFonts w:ascii="Gill Sans MT" w:hAnsi="Gill Sans MT"/>
          <w:i/>
          <w:sz w:val="16"/>
        </w:rPr>
        <w:t xml:space="preserve">CASE Construction Equipment vende y mantiene una línea completa de maquinaria de construcción en todo el mundo, que incluye el n.º 1 en retrocargadoras, excavadoras, motoniveladoras, cargadoras de neumáticos, rodillos vibradores de compactación, dozers de cadenas, minicargadoras, cargadoras compactas de cadenas y carretillas elevadoras todoterreno. A través de los concesionarios CASE, los clientes tienen acceso a un auténtico socio profesional con equipo y servicio postventa de categoría internacional, garantías líderes del sector y financiación flexible. Encontrará más información en </w:t>
      </w:r>
      <w:hyperlink w:history="1" r:id="rId22">
        <w:r w:rsidRPr="00E23EE9">
          <w:rPr>
            <w:rStyle w:val="Hyperlink"/>
            <w:rFonts w:ascii="Gill Sans MT" w:hAnsi="Gill Sans MT"/>
            <w:i/>
            <w:sz w:val="16"/>
            <w:szCs w:val="16"/>
          </w:rPr>
          <w:t>www.CASEce.com</w:t>
        </w:r>
      </w:hyperlink>
      <w:r w:rsidRPr="00E23EE9">
        <w:rPr>
          <w:rFonts w:ascii="Gill Sans MT" w:hAnsi="Gill Sans MT"/>
          <w:i/>
          <w:sz w:val="16"/>
          <w:szCs w:val="16"/>
        </w:rPr>
        <w:t>.</w:t>
      </w:r>
    </w:p>
    <w:p w:rsidR="005906D4" w:rsidP="00A66552" w:rsidRDefault="005906D4" w14:paraId="7A676A9E" w14:textId="77777777">
      <w:pPr>
        <w:rPr>
          <w:rFonts w:ascii="Gill Sans MT" w:hAnsi="Gill Sans MT"/>
          <w:i/>
          <w:sz w:val="16"/>
        </w:rPr>
      </w:pPr>
    </w:p>
    <w:p w:rsidR="00A66552" w:rsidP="00A66552" w:rsidRDefault="00A66552" w14:paraId="440B5510" w14:textId="6C7235D1">
      <w:pPr>
        <w:rPr>
          <w:rStyle w:val="Hyperlink"/>
          <w:rFonts w:ascii="Gill Sans MT" w:hAnsi="Gill Sans MT"/>
          <w:sz w:val="16"/>
          <w:szCs w:val="16"/>
        </w:rPr>
      </w:pPr>
      <w:r w:rsidRPr="00E23EE9">
        <w:rPr>
          <w:rFonts w:ascii="Gill Sans MT" w:hAnsi="Gill Sans MT"/>
          <w:i/>
          <w:sz w:val="16"/>
        </w:rPr>
        <w:t>CASE Construction Equipment es una marca de CNH Industrial N.V., líder mundial en bienes de equipo, cuyas acciones cotizan en la Bolsa de Nueva York (NYSE: CNH) y en el Mercato Telematico Azionario de la Bolsa Italiana (MI: CNHI). Encontrará más información sobre CNH Industrial en la página web</w:t>
      </w:r>
      <w:r w:rsidRPr="00E23EE9">
        <w:rPr>
          <w:rFonts w:ascii="Gill Sans MT" w:hAnsi="Gill Sans MT"/>
        </w:rPr>
        <w:t xml:space="preserve"> </w:t>
      </w:r>
      <w:hyperlink w:history="1" r:id="rId23">
        <w:r w:rsidRPr="00EF630D" w:rsidR="005906D4">
          <w:rPr>
            <w:rStyle w:val="Hyperlink"/>
            <w:rFonts w:ascii="Gill Sans MT" w:hAnsi="Gill Sans MT"/>
            <w:i/>
            <w:sz w:val="16"/>
            <w:szCs w:val="16"/>
          </w:rPr>
          <w:t>www.cnhindustrial.com</w:t>
        </w:r>
      </w:hyperlink>
      <w:r w:rsidRPr="00E23EE9">
        <w:rPr>
          <w:rStyle w:val="Hyperlink"/>
          <w:rFonts w:ascii="Gill Sans MT" w:hAnsi="Gill Sans MT"/>
          <w:sz w:val="16"/>
          <w:szCs w:val="16"/>
        </w:rPr>
        <w:t>.</w:t>
      </w:r>
    </w:p>
    <w:p w:rsidR="005906D4" w:rsidP="00A66552" w:rsidRDefault="005906D4" w14:paraId="74878E08" w14:textId="0F60B388">
      <w:pPr>
        <w:rPr>
          <w:rStyle w:val="Hyperlink"/>
          <w:rFonts w:ascii="Gill Sans MT" w:hAnsi="Gill Sans MT"/>
          <w:sz w:val="16"/>
          <w:szCs w:val="16"/>
        </w:rPr>
      </w:pPr>
    </w:p>
    <w:p w:rsidRPr="005906D4" w:rsidR="005906D4" w:rsidP="005906D4" w:rsidRDefault="005906D4" w14:paraId="77A56038" w14:textId="77777777">
      <w:pPr>
        <w:spacing w:line="240" w:lineRule="auto"/>
        <w:rPr>
          <w:rFonts w:ascii="Gill Sans MT" w:hAnsi="Gill Sans MT" w:cs="Arial"/>
          <w:b/>
          <w:szCs w:val="19"/>
          <w:lang w:val="es-ES"/>
        </w:rPr>
      </w:pPr>
      <w:r w:rsidRPr="005906D4">
        <w:rPr>
          <w:rFonts w:ascii="Gill Sans MT" w:hAnsi="Gill Sans MT" w:cs="Arial"/>
          <w:b/>
          <w:szCs w:val="19"/>
        </w:rPr>
        <w:t>Para más información, contacte con:</w:t>
      </w:r>
    </w:p>
    <w:p w:rsidRPr="005F6730" w:rsidR="005906D4" w:rsidP="005906D4" w:rsidRDefault="00D566D2" w14:paraId="243A99C7" w14:textId="1ED32FF5">
      <w:pPr>
        <w:spacing w:line="240" w:lineRule="auto"/>
        <w:rPr>
          <w:rFonts w:ascii="Gill Sans MT" w:hAnsi="Gill Sans MT" w:cs="Arial"/>
          <w:bCs/>
          <w:szCs w:val="19"/>
          <w:lang w:val="de-DE" w:eastAsia="es-ES"/>
        </w:rPr>
      </w:pPr>
      <w:r>
        <w:rPr>
          <w:rFonts w:ascii="Gill Sans MT" w:hAnsi="Gill Sans MT" w:cs="Arial"/>
          <w:szCs w:val="19"/>
          <w:lang w:val="de-DE" w:eastAsia="es-ES"/>
        </w:rPr>
        <w:t>Francisco Curro</w:t>
      </w:r>
    </w:p>
    <w:p w:rsidRPr="005F6730" w:rsidR="005906D4" w:rsidP="005906D4" w:rsidRDefault="00D566D2" w14:paraId="29A30784" w14:textId="196F889B">
      <w:pPr>
        <w:spacing w:line="240" w:lineRule="auto"/>
        <w:rPr>
          <w:rFonts w:ascii="Gill Sans MT" w:hAnsi="Gill Sans MT" w:cs="Arial"/>
          <w:szCs w:val="19"/>
          <w:lang w:val="de-DE"/>
        </w:rPr>
      </w:pPr>
      <w:hyperlink w:history="1" r:id="rId24">
        <w:r w:rsidRPr="003657B3">
          <w:rPr>
            <w:rStyle w:val="Hyperlink"/>
            <w:rFonts w:ascii="Gill Sans MT" w:hAnsi="Gill Sans MT" w:cs="Arial"/>
            <w:szCs w:val="19"/>
            <w:lang w:val="de-DE" w:eastAsia="es-ES"/>
          </w:rPr>
          <w:t>francisco</w:t>
        </w:r>
        <w:r w:rsidRPr="003657B3">
          <w:rPr>
            <w:rStyle w:val="Hyperlink"/>
            <w:rFonts w:ascii="Gill Sans MT" w:hAnsi="Gill Sans MT" w:cs="Arial"/>
            <w:szCs w:val="19"/>
            <w:lang w:val="de-DE" w:eastAsia="es-ES"/>
          </w:rPr>
          <w:t>@copestone.uk.com</w:t>
        </w:r>
      </w:hyperlink>
    </w:p>
    <w:p w:rsidR="005906D4" w:rsidP="00A66552" w:rsidRDefault="005906D4" w14:paraId="0BD42E2B" w14:textId="77777777">
      <w:pPr>
        <w:rPr>
          <w:rStyle w:val="Hyperlink"/>
          <w:rFonts w:ascii="Gill Sans MT" w:hAnsi="Gill Sans MT"/>
          <w:sz w:val="16"/>
          <w:szCs w:val="16"/>
        </w:rPr>
      </w:pPr>
    </w:p>
    <w:p w:rsidR="005906D4" w:rsidP="00A66552" w:rsidRDefault="005906D4" w14:paraId="564AD1FE" w14:textId="725AEF6E">
      <w:pPr>
        <w:rPr>
          <w:rStyle w:val="Hyperlink"/>
          <w:rFonts w:ascii="Gill Sans MT" w:hAnsi="Gill Sans MT"/>
          <w:sz w:val="16"/>
          <w:szCs w:val="16"/>
        </w:rPr>
      </w:pPr>
    </w:p>
    <w:p w:rsidRPr="00E23EE9" w:rsidR="005906D4" w:rsidP="00A66552" w:rsidRDefault="005906D4" w14:paraId="25A0425A" w14:textId="77777777">
      <w:pPr>
        <w:rPr>
          <w:rFonts w:ascii="Gill Sans MT" w:hAnsi="Gill Sans MT" w:cs="Arial"/>
          <w:i/>
          <w:sz w:val="16"/>
          <w:szCs w:val="16"/>
        </w:rPr>
      </w:pPr>
    </w:p>
    <w:p w:rsidR="003C04F8" w:rsidP="003C04F8" w:rsidRDefault="003C04F8" w14:paraId="00D87EBA" w14:textId="2E31F598">
      <w:pPr>
        <w:rPr>
          <w:rFonts w:cs="Arial"/>
          <w:szCs w:val="24"/>
        </w:rPr>
      </w:pPr>
    </w:p>
    <w:p w:rsidR="00C73DB7" w:rsidP="00C73DB7" w:rsidRDefault="00C73DB7" w14:paraId="7564D403" w14:textId="77777777">
      <w:pPr>
        <w:rPr>
          <w:rFonts w:cs="Arial"/>
          <w:b/>
          <w:szCs w:val="19"/>
        </w:rPr>
      </w:pPr>
    </w:p>
    <w:p w:rsidRPr="00C13D40" w:rsidR="00DD23D8" w:rsidP="008F1907" w:rsidRDefault="00DD23D8" w14:paraId="763F63DC" w14:textId="0B024C0F">
      <w:pPr>
        <w:spacing w:line="240" w:lineRule="auto"/>
        <w:rPr>
          <w:rFonts w:ascii="Helvetica" w:hAnsi="Helvetica"/>
          <w:szCs w:val="24"/>
          <w:lang w:val="de-DE"/>
        </w:rPr>
      </w:pPr>
    </w:p>
    <w:sectPr w:rsidRPr="00C13D40" w:rsidR="00DD23D8">
      <w:headerReference w:type="default" r:id="rId25"/>
      <w:footerReference w:type="default" r:id="rId26"/>
      <w:headerReference w:type="first" r:id="rId27"/>
      <w:footerReference w:type="first" r:id="rId28"/>
      <w:pgSz w:w="11906" w:h="16838" w:orient="portrait"/>
      <w:pgMar w:top="2835" w:right="851" w:bottom="2403" w:left="2552"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F4AC3" w:rsidRDefault="00BF4AC3" w14:paraId="78BC5BD4" w14:textId="77777777">
      <w:pPr>
        <w:spacing w:line="240" w:lineRule="auto"/>
      </w:pPr>
      <w:r>
        <w:separator/>
      </w:r>
    </w:p>
  </w:endnote>
  <w:endnote w:type="continuationSeparator" w:id="0">
    <w:p w:rsidR="00BF4AC3" w:rsidRDefault="00BF4AC3" w14:paraId="5FE8773E"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23D8" w:rsidRDefault="00DD23D8" w14:paraId="33C69737" w14:textId="77777777">
    <w:pPr>
      <w:pStyle w:val="Footer"/>
    </w:pPr>
  </w:p>
  <w:p w:rsidR="00DD23D8" w:rsidRDefault="00DD23D8" w14:paraId="64A3D6CB" w14:textId="77777777">
    <w:pPr>
      <w:pStyle w:val="Footer"/>
    </w:pPr>
  </w:p>
  <w:p w:rsidR="00DD23D8" w:rsidRDefault="00DD23D8" w14:paraId="7C742453" w14:textId="77777777">
    <w:pPr>
      <w:pStyle w:val="Footer"/>
    </w:pPr>
  </w:p>
  <w:p w:rsidR="00DD23D8" w:rsidRDefault="00DD23D8" w14:paraId="0EA28AA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D23D8" w:rsidRDefault="00DD23D8" w14:paraId="6DB20D28" w14:textId="77777777">
    <w:pPr>
      <w:pStyle w:val="04FOOTER"/>
      <w:framePr w:w="182" w:h="177" w:wrap="around" w:hAnchor="page" w:vAnchor="page" w:x="442" w:y="16385" w:h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F4AC3" w:rsidRDefault="00BF4AC3" w14:paraId="5D611CD5" w14:textId="77777777">
      <w:pPr>
        <w:spacing w:line="240" w:lineRule="auto"/>
      </w:pPr>
      <w:r>
        <w:separator/>
      </w:r>
    </w:p>
  </w:footnote>
  <w:footnote w:type="continuationSeparator" w:id="0">
    <w:p w:rsidR="00BF4AC3" w:rsidRDefault="00BF4AC3" w14:paraId="07117C8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DD23D8" w:rsidRDefault="00503245" w14:paraId="247DEBCC" w14:textId="07DD8752">
    <w:r>
      <w:rPr>
        <w:noProof/>
        <w:lang w:val="en-GB" w:eastAsia="en-GB"/>
      </w:rPr>
      <w:drawing>
        <wp:anchor distT="0" distB="0" distL="114300" distR="114300" simplePos="0" relativeHeight="251659776" behindDoc="1" locked="0" layoutInCell="1" allowOverlap="1" wp14:anchorId="637B33EF" wp14:editId="091864BE">
          <wp:simplePos x="0" y="0"/>
          <wp:positionH relativeFrom="margin">
            <wp:posOffset>-1353820</wp:posOffset>
          </wp:positionH>
          <wp:positionV relativeFrom="margin">
            <wp:posOffset>-1343025</wp:posOffset>
          </wp:positionV>
          <wp:extent cx="1236345" cy="444500"/>
          <wp:effectExtent l="0" t="0" r="0" b="0"/>
          <wp:wrapNone/>
          <wp:docPr id="7" name="Imagen 2"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56704" behindDoc="0" locked="0" layoutInCell="1" allowOverlap="1" wp14:anchorId="08843650" wp14:editId="1F5D73AB">
              <wp:simplePos x="0" y="0"/>
              <wp:positionH relativeFrom="column">
                <wp:posOffset>-635</wp:posOffset>
              </wp:positionH>
              <wp:positionV relativeFrom="paragraph">
                <wp:posOffset>452755</wp:posOffset>
              </wp:positionV>
              <wp:extent cx="6858000" cy="0"/>
              <wp:effectExtent l="8890" t="5080" r="10160" b="1397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3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1pt" from="-.05pt,35.65pt" to="539.95pt,35.65pt" w14:anchorId="202CB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puOEgIAACg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">
              <v:fill o:detectmouseclick="t"/>
            </v:line>
          </w:pict>
        </mc:Fallback>
      </mc:AlternateContent>
    </w:r>
    <w:r w:rsidR="16A31E01">
      <w:rPr/>
      <w:t/>
    </w:r>
    <w:r w:rsidR="2B7A7BFA">
      <w:rP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tbl>
    <w:tblPr>
      <w:tblpPr w:vertAnchor="page" w:horzAnchor="page" w:tblpX="2553" w:tblpY="15310"/>
      <w:tblW w:w="0" w:type="auto"/>
      <w:tblLayout w:type="fixed"/>
      <w:tblCellMar>
        <w:left w:w="0" w:type="dxa"/>
        <w:right w:w="0" w:type="dxa"/>
      </w:tblCellMar>
      <w:tblLook w:val="0000" w:firstRow="0" w:lastRow="0" w:firstColumn="0" w:lastColumn="0" w:noHBand="0" w:noVBand="0"/>
    </w:tblPr>
    <w:tblGrid>
      <w:gridCol w:w="2614"/>
      <w:gridCol w:w="2835"/>
      <w:gridCol w:w="3360"/>
    </w:tblGrid>
    <w:tr w:rsidR="00DD23D8" w14:paraId="1C0C1CC3" w14:textId="77777777">
      <w:trPr>
        <w:trHeight w:val="735"/>
      </w:trPr>
      <w:tc>
        <w:tcPr>
          <w:tcW w:w="2614" w:type="dxa"/>
          <w:vAlign w:val="bottom"/>
        </w:tcPr>
        <w:p w:rsidR="00DD23D8" w:rsidRDefault="00DD23D8" w14:paraId="05284603" w14:textId="77777777">
          <w:pPr>
            <w:pStyle w:val="04FOOTER"/>
            <w:ind w:right="-101"/>
            <w:rPr>
              <w:sz w:val="14"/>
              <w:highlight w:val="yellow"/>
              <w:lang w:val="en-US"/>
            </w:rPr>
          </w:pPr>
        </w:p>
      </w:tc>
      <w:tc>
        <w:tcPr>
          <w:tcW w:w="2835" w:type="dxa"/>
          <w:vAlign w:val="bottom"/>
        </w:tcPr>
        <w:p w:rsidR="00DD23D8" w:rsidRDefault="00DD23D8" w14:paraId="7512A44C" w14:textId="77777777">
          <w:pPr>
            <w:pStyle w:val="04FOOTER"/>
            <w:ind w:right="-101"/>
            <w:rPr>
              <w:sz w:val="14"/>
              <w:highlight w:val="yellow"/>
            </w:rPr>
          </w:pPr>
        </w:p>
      </w:tc>
      <w:tc>
        <w:tcPr>
          <w:tcW w:w="3360" w:type="dxa"/>
          <w:vAlign w:val="bottom"/>
        </w:tcPr>
        <w:p w:rsidR="00DD23D8" w:rsidRDefault="00DD23D8" w14:paraId="6735F530" w14:textId="77777777">
          <w:pPr>
            <w:pStyle w:val="04FOOTER"/>
            <w:ind w:right="-101"/>
            <w:rPr>
              <w:sz w:val="14"/>
              <w:highlight w:val="yellow"/>
            </w:rPr>
          </w:pPr>
        </w:p>
      </w:tc>
    </w:tr>
  </w:tbl>
  <w:p w:rsidR="00DD23D8" w:rsidRDefault="00DD23D8" w14:paraId="17B83504" w14:textId="77777777">
    <w:pPr>
      <w:rPr>
        <w:vanish/>
      </w:rPr>
    </w:pPr>
  </w:p>
  <w:tbl>
    <w:tblPr>
      <w:tblpPr w:leftFromText="142" w:rightFromText="142" w:vertAnchor="page" w:horzAnchor="page" w:tblpX="982" w:tblpY="7565"/>
      <w:tblW w:w="0" w:type="auto"/>
      <w:tblLayout w:type="fixed"/>
      <w:tblCellMar>
        <w:left w:w="0" w:type="dxa"/>
        <w:right w:w="0" w:type="dxa"/>
      </w:tblCellMar>
      <w:tblLook w:val="0000" w:firstRow="0" w:lastRow="0" w:firstColumn="0" w:lastColumn="0" w:noHBand="0" w:noVBand="0"/>
    </w:tblPr>
    <w:tblGrid>
      <w:gridCol w:w="606"/>
    </w:tblGrid>
    <w:tr w:rsidR="00DD23D8" w:rsidTr="2B7A7BFA" w14:paraId="141ADD99" w14:textId="77777777">
      <w:trPr>
        <w:trHeight w:val="5211"/>
      </w:trPr>
      <w:tc>
        <w:tcPr>
          <w:tcW w:w="606" w:type="dxa"/>
          <w:tcMar/>
          <w:vAlign w:val="bottom"/>
        </w:tcPr>
        <w:p w:rsidR="00DD23D8" w:rsidRDefault="00503245" w14:paraId="10D69B92" w14:textId="3A27E59C">
          <w:pPr>
            <w:pStyle w:val="01TESTO"/>
          </w:pPr>
          <w:r>
            <w:rPr>
              <w:noProof/>
              <w:lang w:val="en-GB" w:eastAsia="en-GB"/>
            </w:rPr>
            <w:drawing>
              <wp:anchor distT="0" distB="0" distL="114300" distR="114300" simplePos="0" relativeHeight="251660800" behindDoc="1" locked="0" layoutInCell="1" allowOverlap="1" wp14:anchorId="53245069" wp14:editId="0D3B61E9">
                <wp:simplePos x="0" y="0"/>
                <wp:positionH relativeFrom="column">
                  <wp:posOffset>0</wp:posOffset>
                </wp:positionH>
                <wp:positionV relativeFrom="page">
                  <wp:posOffset>0</wp:posOffset>
                </wp:positionV>
                <wp:extent cx="387350" cy="3239135"/>
                <wp:effectExtent l="0" t="0" r="0" b="0"/>
                <wp:wrapNone/>
                <wp:docPr id="3" name="Immagine 50" descr="PressReleas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0" descr="PressRelease-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 cy="3239135"/>
                        </a:xfrm>
                        <a:prstGeom prst="rect">
                          <a:avLst/>
                        </a:prstGeom>
                        <a:noFill/>
                        <a:ln>
                          <a:noFill/>
                        </a:ln>
                      </pic:spPr>
                    </pic:pic>
                  </a:graphicData>
                </a:graphic>
                <wp14:sizeRelH relativeFrom="page">
                  <wp14:pctWidth>0</wp14:pctWidth>
                </wp14:sizeRelH>
                <wp14:sizeRelV relativeFrom="page">
                  <wp14:pctHeight>0</wp14:pctHeight>
                </wp14:sizeRelV>
              </wp:anchor>
            </w:drawing>
          </w:r>
          <w:r w:rsidR="16A31E01">
            <w:rPr/>
            <w:t/>
          </w:r>
          <w:r w:rsidR="2B7A7BFA">
            <w:rPr/>
            <w:t/>
          </w:r>
        </w:p>
      </w:tc>
    </w:tr>
  </w:tbl>
  <w:p w:rsidR="00DD23D8" w:rsidRDefault="00503245" w14:paraId="65B3FAD7" w14:textId="4A1109DD">
    <w:r>
      <w:rPr>
        <w:noProof/>
        <w:lang w:val="en-GB" w:eastAsia="en-GB"/>
      </w:rPr>
      <w:drawing>
        <wp:anchor distT="0" distB="0" distL="114300" distR="114300" simplePos="0" relativeHeight="251657728" behindDoc="1" locked="0" layoutInCell="1" allowOverlap="1" wp14:anchorId="332DB293" wp14:editId="3F4EB8B7">
          <wp:simplePos x="0" y="0"/>
          <wp:positionH relativeFrom="column">
            <wp:posOffset>-1106170</wp:posOffset>
          </wp:positionH>
          <wp:positionV relativeFrom="paragraph">
            <wp:posOffset>3606165</wp:posOffset>
          </wp:positionV>
          <wp:extent cx="622300" cy="368300"/>
          <wp:effectExtent l="0" t="0" r="0" b="0"/>
          <wp:wrapNone/>
          <wp:docPr id="4" name="Immagine 38" descr="C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8" descr="CNH"/>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3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752" behindDoc="1" locked="0" layoutInCell="1" allowOverlap="1" wp14:anchorId="7B28707D" wp14:editId="238423AA">
          <wp:simplePos x="0" y="0"/>
          <wp:positionH relativeFrom="margin">
            <wp:posOffset>-1353820</wp:posOffset>
          </wp:positionH>
          <wp:positionV relativeFrom="margin">
            <wp:posOffset>-1343025</wp:posOffset>
          </wp:positionV>
          <wp:extent cx="1236345" cy="444500"/>
          <wp:effectExtent l="0" t="0" r="0" b="0"/>
          <wp:wrapNone/>
          <wp:docPr id="5" name="Imagen 58"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 descr="03_CAS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54656" behindDoc="0" locked="0" layoutInCell="1" allowOverlap="1" wp14:anchorId="5970695D" wp14:editId="501674CE">
              <wp:simplePos x="0" y="0"/>
              <wp:positionH relativeFrom="column">
                <wp:posOffset>-1270</wp:posOffset>
              </wp:positionH>
              <wp:positionV relativeFrom="paragraph">
                <wp:posOffset>455295</wp:posOffset>
              </wp:positionV>
              <wp:extent cx="7086600" cy="0"/>
              <wp:effectExtent l="8255" t="7620" r="10795" b="1143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134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03739mm" from="-.1pt,35.85pt" to="557.9pt,35.85pt" w14:anchorId="02FABE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">
              <v:fill o:detectmouseclick="t"/>
            </v:line>
          </w:pict>
        </mc:Fallback>
      </mc:AlternateContent>
    </w:r>
    <w:r>
      <w:rPr>
        <w:noProof/>
        <w:lang w:val="en-GB" w:eastAsia="en-GB"/>
      </w:rPr>
      <mc:AlternateContent>
        <mc:Choice Requires="wps">
          <w:drawing>
            <wp:anchor distT="0" distB="0" distL="114300" distR="114300" simplePos="0" relativeHeight="251655680" behindDoc="0" locked="0" layoutInCell="1" allowOverlap="1" wp14:anchorId="4886FBA9" wp14:editId="59130718">
              <wp:simplePos x="0" y="0"/>
              <wp:positionH relativeFrom="column">
                <wp:posOffset>-1945005</wp:posOffset>
              </wp:positionH>
              <wp:positionV relativeFrom="paragraph">
                <wp:posOffset>3414395</wp:posOffset>
              </wp:positionV>
              <wp:extent cx="685800" cy="0"/>
              <wp:effectExtent l="7620" t="13970" r="11430" b="508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34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03739mm" from="-153.15pt,268.85pt" to="-99.15pt,268.85pt" w14:anchorId="284B6D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">
              <v:fill o:detectmouseclick="t"/>
            </v:line>
          </w:pict>
        </mc:Fallback>
      </mc:AlternateContent>
    </w:r>
    <w:r w:rsidR="16A31E01">
      <w:rPr/>
      <w:t/>
    </w:r>
    <w:r w:rsidR="2B7A7BFA">
      <w:rP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720EAD"/>
    <w:multiLevelType w:val="hybridMultilevel"/>
    <w:tmpl w:val="5F2EEAAA"/>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76980128"/>
    <w:multiLevelType w:val="hybridMultilevel"/>
    <w:tmpl w:val="DAF68E38"/>
    <w:lvl w:ilvl="0" w:tplc="850CBEF2">
      <w:numFmt w:val="bullet"/>
      <w:lvlText w:val="-"/>
      <w:lvlJc w:val="left"/>
      <w:pPr>
        <w:ind w:left="720" w:hanging="360"/>
      </w:pPr>
      <w:rPr>
        <w:rFonts w:hint="default" w:ascii="Arial" w:hAnsi="Arial" w:eastAsia="Times New Roman"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fill="f" fillcolor="white" stroke="f">
      <v:fill on="f" color="white"/>
      <v:stroke on="f"/>
    </o:shapedefaults>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Q0MTG1MDY1tjAztDBT0lEKTi0uzszPAykwrQUAfvZj9CwAAAA="/>
  </w:docVars>
  <w:rsids>
    <w:rsidRoot w:val="00172A27"/>
    <w:rsid w:val="00014DF1"/>
    <w:rsid w:val="0002100C"/>
    <w:rsid w:val="00022A25"/>
    <w:rsid w:val="000347A1"/>
    <w:rsid w:val="000500EF"/>
    <w:rsid w:val="00050119"/>
    <w:rsid w:val="00051601"/>
    <w:rsid w:val="00077F44"/>
    <w:rsid w:val="00086303"/>
    <w:rsid w:val="000A4348"/>
    <w:rsid w:val="000A5D26"/>
    <w:rsid w:val="000F406D"/>
    <w:rsid w:val="001069C7"/>
    <w:rsid w:val="0014404B"/>
    <w:rsid w:val="00147B9B"/>
    <w:rsid w:val="001650D4"/>
    <w:rsid w:val="00172A27"/>
    <w:rsid w:val="00177102"/>
    <w:rsid w:val="001C1199"/>
    <w:rsid w:val="001D2DE9"/>
    <w:rsid w:val="001D6C3B"/>
    <w:rsid w:val="001F75AF"/>
    <w:rsid w:val="0020043B"/>
    <w:rsid w:val="00224DED"/>
    <w:rsid w:val="00224E5E"/>
    <w:rsid w:val="002359AA"/>
    <w:rsid w:val="002366C3"/>
    <w:rsid w:val="00250712"/>
    <w:rsid w:val="00251D1D"/>
    <w:rsid w:val="00257216"/>
    <w:rsid w:val="0028691C"/>
    <w:rsid w:val="00296B44"/>
    <w:rsid w:val="002A2383"/>
    <w:rsid w:val="002C75CA"/>
    <w:rsid w:val="002F7F78"/>
    <w:rsid w:val="003037E6"/>
    <w:rsid w:val="00305CA6"/>
    <w:rsid w:val="00317E8A"/>
    <w:rsid w:val="0032412C"/>
    <w:rsid w:val="00332EC8"/>
    <w:rsid w:val="0033482D"/>
    <w:rsid w:val="003349DF"/>
    <w:rsid w:val="00337B3B"/>
    <w:rsid w:val="003416D5"/>
    <w:rsid w:val="00360807"/>
    <w:rsid w:val="003644BB"/>
    <w:rsid w:val="00395786"/>
    <w:rsid w:val="003972A0"/>
    <w:rsid w:val="003A3F86"/>
    <w:rsid w:val="003B2CE8"/>
    <w:rsid w:val="003C04F8"/>
    <w:rsid w:val="003C1F12"/>
    <w:rsid w:val="003E7CEA"/>
    <w:rsid w:val="003F003D"/>
    <w:rsid w:val="00406FCD"/>
    <w:rsid w:val="004244F8"/>
    <w:rsid w:val="004340D5"/>
    <w:rsid w:val="00451C69"/>
    <w:rsid w:val="004625AC"/>
    <w:rsid w:val="00473F9C"/>
    <w:rsid w:val="004762A6"/>
    <w:rsid w:val="004972BE"/>
    <w:rsid w:val="004A1896"/>
    <w:rsid w:val="004A30ED"/>
    <w:rsid w:val="004A5D30"/>
    <w:rsid w:val="004C381F"/>
    <w:rsid w:val="004C7A9C"/>
    <w:rsid w:val="004E0E8C"/>
    <w:rsid w:val="004E7948"/>
    <w:rsid w:val="004F4F8A"/>
    <w:rsid w:val="00503245"/>
    <w:rsid w:val="00506CDD"/>
    <w:rsid w:val="00535540"/>
    <w:rsid w:val="00536C67"/>
    <w:rsid w:val="00544796"/>
    <w:rsid w:val="005531DF"/>
    <w:rsid w:val="00555867"/>
    <w:rsid w:val="00555A03"/>
    <w:rsid w:val="005609A2"/>
    <w:rsid w:val="0056443A"/>
    <w:rsid w:val="00567C7E"/>
    <w:rsid w:val="005835EC"/>
    <w:rsid w:val="0058482C"/>
    <w:rsid w:val="00584A20"/>
    <w:rsid w:val="005906D4"/>
    <w:rsid w:val="005908F6"/>
    <w:rsid w:val="00597A23"/>
    <w:rsid w:val="005A5096"/>
    <w:rsid w:val="005B3B3A"/>
    <w:rsid w:val="005C2BC0"/>
    <w:rsid w:val="005C7694"/>
    <w:rsid w:val="005D6855"/>
    <w:rsid w:val="005E65E0"/>
    <w:rsid w:val="006012E7"/>
    <w:rsid w:val="00615584"/>
    <w:rsid w:val="00625DA4"/>
    <w:rsid w:val="00640BCA"/>
    <w:rsid w:val="00641D16"/>
    <w:rsid w:val="006611B1"/>
    <w:rsid w:val="006627EE"/>
    <w:rsid w:val="00670F89"/>
    <w:rsid w:val="00676B58"/>
    <w:rsid w:val="00677DDD"/>
    <w:rsid w:val="00680AD5"/>
    <w:rsid w:val="00687BE2"/>
    <w:rsid w:val="006B2662"/>
    <w:rsid w:val="006B29A7"/>
    <w:rsid w:val="006D16E0"/>
    <w:rsid w:val="006D726F"/>
    <w:rsid w:val="006D751A"/>
    <w:rsid w:val="006E4558"/>
    <w:rsid w:val="006F2688"/>
    <w:rsid w:val="006F3EBF"/>
    <w:rsid w:val="007174DE"/>
    <w:rsid w:val="00724722"/>
    <w:rsid w:val="0072667A"/>
    <w:rsid w:val="00737259"/>
    <w:rsid w:val="00743C6D"/>
    <w:rsid w:val="00743CB8"/>
    <w:rsid w:val="00751EDE"/>
    <w:rsid w:val="00754C18"/>
    <w:rsid w:val="00762293"/>
    <w:rsid w:val="007664CA"/>
    <w:rsid w:val="00771D4C"/>
    <w:rsid w:val="00774872"/>
    <w:rsid w:val="00786DCE"/>
    <w:rsid w:val="00793CE4"/>
    <w:rsid w:val="007C0CEB"/>
    <w:rsid w:val="007C7120"/>
    <w:rsid w:val="007C732F"/>
    <w:rsid w:val="007D17ED"/>
    <w:rsid w:val="007D281C"/>
    <w:rsid w:val="007D5EEB"/>
    <w:rsid w:val="00800D60"/>
    <w:rsid w:val="00805C5F"/>
    <w:rsid w:val="008164FE"/>
    <w:rsid w:val="00816AD2"/>
    <w:rsid w:val="00823A7F"/>
    <w:rsid w:val="0083794A"/>
    <w:rsid w:val="00843996"/>
    <w:rsid w:val="008968CC"/>
    <w:rsid w:val="008B7EC8"/>
    <w:rsid w:val="008C2A43"/>
    <w:rsid w:val="008C3770"/>
    <w:rsid w:val="008C5034"/>
    <w:rsid w:val="008D4207"/>
    <w:rsid w:val="008E07C6"/>
    <w:rsid w:val="008E4A26"/>
    <w:rsid w:val="008F1907"/>
    <w:rsid w:val="009231D4"/>
    <w:rsid w:val="00927E5D"/>
    <w:rsid w:val="00930A75"/>
    <w:rsid w:val="009408AE"/>
    <w:rsid w:val="00966F1F"/>
    <w:rsid w:val="00972652"/>
    <w:rsid w:val="00975894"/>
    <w:rsid w:val="009A77BB"/>
    <w:rsid w:val="009B028E"/>
    <w:rsid w:val="009B068A"/>
    <w:rsid w:val="009B433E"/>
    <w:rsid w:val="009B7EF2"/>
    <w:rsid w:val="009D4F42"/>
    <w:rsid w:val="009E1A43"/>
    <w:rsid w:val="009E2C62"/>
    <w:rsid w:val="00A10A98"/>
    <w:rsid w:val="00A1783A"/>
    <w:rsid w:val="00A26BB1"/>
    <w:rsid w:val="00A34623"/>
    <w:rsid w:val="00A36188"/>
    <w:rsid w:val="00A66552"/>
    <w:rsid w:val="00A74576"/>
    <w:rsid w:val="00A80864"/>
    <w:rsid w:val="00A918A2"/>
    <w:rsid w:val="00A95421"/>
    <w:rsid w:val="00AA2153"/>
    <w:rsid w:val="00AB36D8"/>
    <w:rsid w:val="00AB5BB6"/>
    <w:rsid w:val="00AC1C34"/>
    <w:rsid w:val="00AC39FF"/>
    <w:rsid w:val="00AD2533"/>
    <w:rsid w:val="00AE6F86"/>
    <w:rsid w:val="00AE764B"/>
    <w:rsid w:val="00AF1A5A"/>
    <w:rsid w:val="00AF66CF"/>
    <w:rsid w:val="00AF7877"/>
    <w:rsid w:val="00B057EA"/>
    <w:rsid w:val="00B10DA9"/>
    <w:rsid w:val="00B13CF4"/>
    <w:rsid w:val="00B21465"/>
    <w:rsid w:val="00B254FF"/>
    <w:rsid w:val="00B842E1"/>
    <w:rsid w:val="00B8452D"/>
    <w:rsid w:val="00B87D36"/>
    <w:rsid w:val="00B911DA"/>
    <w:rsid w:val="00B97A42"/>
    <w:rsid w:val="00BA391E"/>
    <w:rsid w:val="00BC09B8"/>
    <w:rsid w:val="00BC6C3A"/>
    <w:rsid w:val="00BD2DC0"/>
    <w:rsid w:val="00BF4AC3"/>
    <w:rsid w:val="00C13D40"/>
    <w:rsid w:val="00C13E47"/>
    <w:rsid w:val="00C160DB"/>
    <w:rsid w:val="00C1631C"/>
    <w:rsid w:val="00C2393B"/>
    <w:rsid w:val="00C36AF0"/>
    <w:rsid w:val="00C42B44"/>
    <w:rsid w:val="00C44794"/>
    <w:rsid w:val="00C71324"/>
    <w:rsid w:val="00C73DB7"/>
    <w:rsid w:val="00C76D7F"/>
    <w:rsid w:val="00C83582"/>
    <w:rsid w:val="00CB19A5"/>
    <w:rsid w:val="00CB6295"/>
    <w:rsid w:val="00CB71EC"/>
    <w:rsid w:val="00CC0790"/>
    <w:rsid w:val="00CD1485"/>
    <w:rsid w:val="00CE2BC0"/>
    <w:rsid w:val="00CF38E7"/>
    <w:rsid w:val="00CF43AC"/>
    <w:rsid w:val="00CF64FA"/>
    <w:rsid w:val="00D01348"/>
    <w:rsid w:val="00D071D0"/>
    <w:rsid w:val="00D1440D"/>
    <w:rsid w:val="00D20AFC"/>
    <w:rsid w:val="00D21457"/>
    <w:rsid w:val="00D301B6"/>
    <w:rsid w:val="00D3263A"/>
    <w:rsid w:val="00D33D8E"/>
    <w:rsid w:val="00D41EC8"/>
    <w:rsid w:val="00D41F50"/>
    <w:rsid w:val="00D456FF"/>
    <w:rsid w:val="00D566D2"/>
    <w:rsid w:val="00D63FF2"/>
    <w:rsid w:val="00D66BFC"/>
    <w:rsid w:val="00D724E8"/>
    <w:rsid w:val="00D76140"/>
    <w:rsid w:val="00D84614"/>
    <w:rsid w:val="00DA0133"/>
    <w:rsid w:val="00DA6455"/>
    <w:rsid w:val="00DB319E"/>
    <w:rsid w:val="00DC437C"/>
    <w:rsid w:val="00DC4B82"/>
    <w:rsid w:val="00DC6441"/>
    <w:rsid w:val="00DD0037"/>
    <w:rsid w:val="00DD23D8"/>
    <w:rsid w:val="00DD4689"/>
    <w:rsid w:val="00DD6B5E"/>
    <w:rsid w:val="00DF1431"/>
    <w:rsid w:val="00E15130"/>
    <w:rsid w:val="00E221AD"/>
    <w:rsid w:val="00E26C69"/>
    <w:rsid w:val="00E27434"/>
    <w:rsid w:val="00E3313C"/>
    <w:rsid w:val="00E45C69"/>
    <w:rsid w:val="00E6153E"/>
    <w:rsid w:val="00E629B4"/>
    <w:rsid w:val="00E76133"/>
    <w:rsid w:val="00E77E91"/>
    <w:rsid w:val="00E85F9A"/>
    <w:rsid w:val="00E9267E"/>
    <w:rsid w:val="00E9640F"/>
    <w:rsid w:val="00EA2E1F"/>
    <w:rsid w:val="00EA54ED"/>
    <w:rsid w:val="00EC0EDD"/>
    <w:rsid w:val="00EE7CF8"/>
    <w:rsid w:val="00EF2C19"/>
    <w:rsid w:val="00EF479D"/>
    <w:rsid w:val="00EF4ADC"/>
    <w:rsid w:val="00F02208"/>
    <w:rsid w:val="00F04D55"/>
    <w:rsid w:val="00F263FD"/>
    <w:rsid w:val="00F31872"/>
    <w:rsid w:val="00F32DEB"/>
    <w:rsid w:val="00F40273"/>
    <w:rsid w:val="00F44B25"/>
    <w:rsid w:val="00F56852"/>
    <w:rsid w:val="00F702E9"/>
    <w:rsid w:val="00F7079E"/>
    <w:rsid w:val="00F70EB6"/>
    <w:rsid w:val="00F74423"/>
    <w:rsid w:val="00F81C3A"/>
    <w:rsid w:val="00F95145"/>
    <w:rsid w:val="00FA30CF"/>
    <w:rsid w:val="00FD4647"/>
    <w:rsid w:val="00FD49E2"/>
    <w:rsid w:val="00FE0CF9"/>
    <w:rsid w:val="00FE10CB"/>
    <w:rsid w:val="00FE4737"/>
    <w:rsid w:val="16A31E01"/>
    <w:rsid w:val="2B7A7BFA"/>
    <w:rsid w:val="5262A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on="f" color="white"/>
      <v:stroke on="f"/>
    </o:shapedefaults>
    <o:shapelayout v:ext="edit">
      <o:idmap v:ext="edit" data="1"/>
    </o:shapelayout>
  </w:shapeDefaults>
  <w:decimalSymbol w:val="."/>
  <w:listSeparator w:val=","/>
  <w14:docId w14:val="032E017A"/>
  <w15:chartTrackingRefBased/>
  <w15:docId w15:val="{07725157-F2FD-4E38-96F1-543C893A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line="360" w:lineRule="auto"/>
      <w:jc w:val="both"/>
    </w:pPr>
    <w:rPr>
      <w:rFonts w:ascii="Arial" w:hAnsi="Arial"/>
      <w:color w:val="000000"/>
      <w:sz w:val="19"/>
      <w:lang w:val="it-IT" w:eastAsia="it-IT"/>
    </w:rPr>
  </w:style>
  <w:style w:type="paragraph" w:styleId="Heading1">
    <w:name w:val="heading 1"/>
    <w:basedOn w:val="Normal"/>
    <w:next w:val="Normal"/>
    <w:qFormat/>
    <w:pPr>
      <w:keepNext/>
      <w:spacing w:before="240" w:after="60"/>
      <w:outlineLvl w:val="0"/>
    </w:pPr>
    <w:rPr>
      <w:b/>
      <w:kern w:val="32"/>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03INTESTAZIONEBOLD2" w:customStyle="1">
    <w:name w:val="03 INTESTAZIONE BOLD 2"/>
    <w:rPr>
      <w:rFonts w:ascii="Arial" w:hAnsi="Arial"/>
      <w:b/>
      <w:sz w:val="16"/>
    </w:rPr>
  </w:style>
  <w:style w:type="character" w:styleId="03INTESTAZIONEITALIC2" w:customStyle="1">
    <w:name w:val="03 INTESTAZIONE ITALIC 2"/>
    <w:rPr>
      <w:rFonts w:ascii="Arial" w:hAnsi="Arial"/>
      <w:i/>
      <w:sz w:val="16"/>
      <w:szCs w:val="16"/>
    </w:rPr>
  </w:style>
  <w:style w:type="character" w:styleId="05FOOTERBOLD" w:customStyle="1">
    <w:name w:val="05_FOOTER_BOLD"/>
    <w:rPr>
      <w:rFonts w:ascii="Arial" w:hAnsi="Arial"/>
      <w:b/>
      <w:color w:val="000000"/>
      <w:w w:val="100"/>
      <w:sz w:val="15"/>
      <w:u w:val="none"/>
    </w:rPr>
  </w:style>
  <w:style w:type="character" w:styleId="02TESTOBOLD" w:customStyle="1">
    <w:name w:val="02_TESTO_BOLD"/>
    <w:rPr>
      <w:rFonts w:ascii="Arial" w:hAnsi="Arial"/>
      <w:b/>
      <w:color w:val="000000"/>
      <w:sz w:val="19"/>
    </w:rPr>
  </w:style>
  <w:style w:type="character" w:styleId="auto-style15" w:customStyle="1">
    <w:name w:val="auto-style15"/>
  </w:style>
  <w:style w:type="character" w:styleId="auto-style12" w:customStyle="1">
    <w:name w:val="auto-style12"/>
  </w:style>
  <w:style w:type="character" w:styleId="BalloonTextChar" w:customStyle="1">
    <w:name w:val="Balloon Text Char"/>
    <w:link w:val="BalloonText"/>
    <w:rPr>
      <w:rFonts w:ascii="Tahoma" w:hAnsi="Tahoma" w:cs="Tahoma"/>
      <w:color w:val="000000"/>
      <w:sz w:val="16"/>
      <w:szCs w:val="16"/>
      <w:lang w:val="it-IT" w:eastAsia="it-IT"/>
    </w:rPr>
  </w:style>
  <w:style w:type="character" w:styleId="CommentSubjectChar" w:customStyle="1">
    <w:name w:val="Comment Subject Char"/>
    <w:link w:val="CommentSubject"/>
    <w:rPr>
      <w:rFonts w:ascii="Arial" w:hAnsi="Arial"/>
      <w:b/>
      <w:bCs/>
      <w:color w:val="000000"/>
      <w:lang w:val="it-IT" w:eastAsia="it-IT"/>
    </w:rPr>
  </w:style>
  <w:style w:type="character" w:styleId="CommentTextChar" w:customStyle="1">
    <w:name w:val="Comment Text Char"/>
    <w:link w:val="CommentText"/>
    <w:rPr>
      <w:rFonts w:ascii="Arial" w:hAnsi="Arial"/>
      <w:color w:val="000000"/>
      <w:lang w:val="it-IT" w:eastAsia="it-IT"/>
    </w:rPr>
  </w:style>
  <w:style w:type="character" w:styleId="hps" w:customStyle="1">
    <w:name w:val="hps"/>
    <w:basedOn w:val="DefaultParagraphFont"/>
  </w:style>
  <w:style w:type="character" w:styleId="Strong">
    <w:name w:val="Strong"/>
    <w:uiPriority w:val="22"/>
    <w:qFormat/>
    <w:rPr>
      <w:b/>
      <w:bCs/>
    </w:rPr>
  </w:style>
  <w:style w:type="character" w:styleId="Hyperlink">
    <w:name w:val="Hyperlink"/>
    <w:rPr>
      <w:color w:val="0000FF"/>
      <w:u w:val="single"/>
    </w:rPr>
  </w:style>
  <w:style w:type="character" w:styleId="FootnoteReference">
    <w:name w:val="footnote reference"/>
    <w:rPr>
      <w:vertAlign w:val="superscript"/>
    </w:rPr>
  </w:style>
  <w:style w:type="character" w:styleId="CommentReference">
    <w:name w:val="annotation reference"/>
    <w:rPr>
      <w:sz w:val="16"/>
      <w:szCs w:val="16"/>
    </w:rPr>
  </w:style>
  <w:style w:type="paragraph" w:styleId="Boilerplate" w:customStyle="1">
    <w:name w:val="Boilerplate"/>
    <w:basedOn w:val="Normal"/>
    <w:pPr>
      <w:spacing w:line="240" w:lineRule="auto"/>
    </w:pPr>
    <w:rPr>
      <w:rFonts w:eastAsia="Times"/>
      <w:i/>
      <w:color w:val="auto"/>
      <w:sz w:val="14"/>
      <w:lang w:val="en-GB" w:eastAsia="en-US"/>
    </w:rPr>
  </w:style>
  <w:style w:type="paragraph" w:styleId="03INTESTAZIONEBOLD" w:customStyle="1">
    <w:name w:val="03 INTESTAZIONE BOLD"/>
    <w:basedOn w:val="03INTESTAZIONE"/>
    <w:rPr>
      <w:b/>
    </w:rPr>
  </w:style>
  <w:style w:type="paragraph" w:styleId="01TESTO" w:customStyle="1">
    <w:name w:val="01_TESTO"/>
    <w:basedOn w:val="Normal"/>
  </w:style>
  <w:style w:type="paragraph" w:styleId="03INTESTAZIONE" w:customStyle="1">
    <w:name w:val="03 INTESTAZIONE"/>
    <w:basedOn w:val="01TESTO"/>
    <w:pPr>
      <w:spacing w:line="192" w:lineRule="exact"/>
    </w:pPr>
    <w:rPr>
      <w:sz w:val="16"/>
    </w:rPr>
  </w:style>
  <w:style w:type="paragraph" w:styleId="03INTESTAZIONEITALIC" w:customStyle="1">
    <w:name w:val="03 INTESTAZIONE ITALIC"/>
    <w:basedOn w:val="03INTESTAZIONE"/>
    <w:rPr>
      <w:i/>
    </w:rPr>
  </w:style>
  <w:style w:type="paragraph" w:styleId="04FOOTER" w:customStyle="1">
    <w:name w:val="04_FOOTER"/>
    <w:basedOn w:val="Normal"/>
    <w:pPr>
      <w:spacing w:line="160" w:lineRule="exact"/>
    </w:pPr>
    <w:rPr>
      <w:sz w:val="15"/>
    </w:rPr>
  </w:style>
  <w:style w:type="paragraph" w:styleId="style2" w:customStyle="1">
    <w:name w:val="style2"/>
    <w:basedOn w:val="Normal"/>
    <w:uiPriority w:val="99"/>
    <w:pPr>
      <w:spacing w:before="100" w:beforeAutospacing="1" w:after="100" w:afterAutospacing="1" w:line="240" w:lineRule="auto"/>
    </w:pPr>
    <w:rPr>
      <w:rFonts w:cs="Arial"/>
      <w:sz w:val="18"/>
      <w:szCs w:val="18"/>
      <w:lang w:val="es-ES" w:eastAsia="es-ES"/>
    </w:rPr>
  </w:style>
  <w:style w:type="paragraph" w:styleId="BalloonText">
    <w:name w:val="Balloon Text"/>
    <w:basedOn w:val="Normal"/>
    <w:link w:val="BalloonTextChar"/>
    <w:pPr>
      <w:spacing w:line="240" w:lineRule="auto"/>
    </w:pPr>
    <w:rPr>
      <w:rFonts w:ascii="Tahoma" w:hAnsi="Tahoma"/>
      <w:sz w:val="16"/>
      <w:szCs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link w:val="CommentSubjectChar"/>
    <w:rPr>
      <w:b/>
      <w:bCs/>
    </w:rPr>
  </w:style>
  <w:style w:type="paragraph" w:styleId="Footer">
    <w:name w:val="footer"/>
    <w:basedOn w:val="Normal"/>
    <w:pPr>
      <w:tabs>
        <w:tab w:val="center" w:pos="4819"/>
        <w:tab w:val="right" w:pos="9638"/>
      </w:tabs>
    </w:pPr>
  </w:style>
  <w:style w:type="paragraph" w:styleId="FootnoteText">
    <w:name w:val="footnote text"/>
    <w:basedOn w:val="Normal"/>
    <w:rPr>
      <w:sz w:val="24"/>
      <w:szCs w:val="24"/>
    </w:rPr>
  </w:style>
  <w:style w:type="paragraph" w:styleId="Header">
    <w:name w:val="header"/>
    <w:basedOn w:val="Normal"/>
    <w:pPr>
      <w:tabs>
        <w:tab w:val="center" w:pos="4819"/>
        <w:tab w:val="right" w:pos="9638"/>
      </w:tabs>
    </w:pPr>
  </w:style>
  <w:style w:type="paragraph" w:styleId="NormalWeb">
    <w:name w:val="Normal (Web)"/>
    <w:basedOn w:val="Normal"/>
    <w:pPr>
      <w:spacing w:line="240" w:lineRule="auto"/>
      <w:textAlignment w:val="baseline"/>
    </w:pPr>
    <w:rPr>
      <w:rFonts w:ascii="Times New Roman" w:hAnsi="Times New Roman"/>
      <w:color w:val="auto"/>
      <w:sz w:val="24"/>
      <w:szCs w:val="24"/>
      <w:lang w:val="en-GB" w:eastAsia="en-GB"/>
    </w:rPr>
  </w:style>
  <w:style w:type="paragraph" w:styleId="Revision">
    <w:name w:val="Revision"/>
    <w:hidden/>
    <w:uiPriority w:val="99"/>
    <w:semiHidden/>
    <w:rsid w:val="005D6855"/>
    <w:rPr>
      <w:rFonts w:ascii="Arial" w:hAnsi="Arial"/>
      <w:color w:val="000000"/>
      <w:sz w:val="19"/>
      <w:lang w:val="it-IT" w:eastAsia="it-IT"/>
    </w:rPr>
  </w:style>
  <w:style w:type="character" w:styleId="UnresolvedMention">
    <w:name w:val="Unresolved Mention"/>
    <w:basedOn w:val="DefaultParagraphFont"/>
    <w:uiPriority w:val="99"/>
    <w:semiHidden/>
    <w:unhideWhenUsed/>
    <w:rsid w:val="00786D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751495">
      <w:bodyDiv w:val="1"/>
      <w:marLeft w:val="0"/>
      <w:marRight w:val="0"/>
      <w:marTop w:val="0"/>
      <w:marBottom w:val="0"/>
      <w:divBdr>
        <w:top w:val="none" w:sz="0" w:space="0" w:color="auto"/>
        <w:left w:val="none" w:sz="0" w:space="0" w:color="auto"/>
        <w:bottom w:val="none" w:sz="0" w:space="0" w:color="auto"/>
        <w:right w:val="none" w:sz="0" w:space="0" w:color="auto"/>
      </w:divBdr>
    </w:div>
    <w:div w:id="279847635">
      <w:bodyDiv w:val="1"/>
      <w:marLeft w:val="0"/>
      <w:marRight w:val="0"/>
      <w:marTop w:val="0"/>
      <w:marBottom w:val="0"/>
      <w:divBdr>
        <w:top w:val="none" w:sz="0" w:space="0" w:color="auto"/>
        <w:left w:val="none" w:sz="0" w:space="0" w:color="auto"/>
        <w:bottom w:val="none" w:sz="0" w:space="0" w:color="auto"/>
        <w:right w:val="none" w:sz="0" w:space="0" w:color="auto"/>
      </w:divBdr>
    </w:div>
    <w:div w:id="735319292">
      <w:bodyDiv w:val="1"/>
      <w:marLeft w:val="0"/>
      <w:marRight w:val="0"/>
      <w:marTop w:val="0"/>
      <w:marBottom w:val="0"/>
      <w:divBdr>
        <w:top w:val="none" w:sz="0" w:space="0" w:color="auto"/>
        <w:left w:val="none" w:sz="0" w:space="0" w:color="auto"/>
        <w:bottom w:val="none" w:sz="0" w:space="0" w:color="auto"/>
        <w:right w:val="none" w:sz="0" w:space="0" w:color="auto"/>
      </w:divBdr>
    </w:div>
    <w:div w:id="1059938062">
      <w:bodyDiv w:val="1"/>
      <w:marLeft w:val="0"/>
      <w:marRight w:val="0"/>
      <w:marTop w:val="0"/>
      <w:marBottom w:val="0"/>
      <w:divBdr>
        <w:top w:val="none" w:sz="0" w:space="0" w:color="auto"/>
        <w:left w:val="none" w:sz="0" w:space="0" w:color="auto"/>
        <w:bottom w:val="none" w:sz="0" w:space="0" w:color="auto"/>
        <w:right w:val="none" w:sz="0" w:space="0" w:color="auto"/>
      </w:divBdr>
    </w:div>
    <w:div w:id="1342274695">
      <w:bodyDiv w:val="1"/>
      <w:marLeft w:val="0"/>
      <w:marRight w:val="0"/>
      <w:marTop w:val="0"/>
      <w:marBottom w:val="0"/>
      <w:divBdr>
        <w:top w:val="none" w:sz="0" w:space="0" w:color="auto"/>
        <w:left w:val="none" w:sz="0" w:space="0" w:color="auto"/>
        <w:bottom w:val="none" w:sz="0" w:space="0" w:color="auto"/>
        <w:right w:val="none" w:sz="0" w:space="0" w:color="auto"/>
      </w:divBdr>
    </w:div>
    <w:div w:id="1342509326">
      <w:bodyDiv w:val="1"/>
      <w:marLeft w:val="0"/>
      <w:marRight w:val="0"/>
      <w:marTop w:val="0"/>
      <w:marBottom w:val="0"/>
      <w:divBdr>
        <w:top w:val="none" w:sz="0" w:space="0" w:color="auto"/>
        <w:left w:val="none" w:sz="0" w:space="0" w:color="auto"/>
        <w:bottom w:val="none" w:sz="0" w:space="0" w:color="auto"/>
        <w:right w:val="none" w:sz="0" w:space="0" w:color="auto"/>
      </w:divBdr>
    </w:div>
    <w:div w:id="1782993737">
      <w:bodyDiv w:val="1"/>
      <w:marLeft w:val="0"/>
      <w:marRight w:val="0"/>
      <w:marTop w:val="0"/>
      <w:marBottom w:val="0"/>
      <w:divBdr>
        <w:top w:val="none" w:sz="0" w:space="0" w:color="auto"/>
        <w:left w:val="none" w:sz="0" w:space="0" w:color="auto"/>
        <w:bottom w:val="none" w:sz="0" w:space="0" w:color="auto"/>
        <w:right w:val="none" w:sz="0" w:space="0" w:color="auto"/>
      </w:divBdr>
    </w:div>
    <w:div w:id="1974869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26"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1.xml" Id="rId25" /><Relationship Type="http://schemas.openxmlformats.org/officeDocument/2006/relationships/customXml" Target="../customXml/item5.xml" Id="rId33" /><Relationship Type="http://schemas.openxmlformats.org/officeDocument/2006/relationships/customXml" Target="../customXml/item2.xml" Id="rId2"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mailto:francisco@copestone.uk.com" TargetMode="External" Id="rId24" /><Relationship Type="http://schemas.openxmlformats.org/officeDocument/2006/relationships/customXml" Target="../customXml/item4.xml" Id="rId32" /><Relationship Type="http://schemas.openxmlformats.org/officeDocument/2006/relationships/settings" Target="settings.xml" Id="rId5" /><Relationship Type="http://schemas.openxmlformats.org/officeDocument/2006/relationships/hyperlink" Target="http://www.cnhindustrial.com" TargetMode="External" Id="rId23" /><Relationship Type="http://schemas.openxmlformats.org/officeDocument/2006/relationships/footer" Target="footer2.xml" Id="rId28" /><Relationship Type="http://schemas.openxmlformats.org/officeDocument/2006/relationships/customXml" Target="../customXml/item3.xml" Id="rId31" /><Relationship Type="http://schemas.openxmlformats.org/officeDocument/2006/relationships/styles" Target="styles.xml" Id="rId4" /><Relationship Type="http://schemas.openxmlformats.org/officeDocument/2006/relationships/hyperlink" Target="http://www.casecetools.com/Press-Kit/web_html/Catalog" TargetMode="External" Id="rId9" /><Relationship Type="http://schemas.openxmlformats.org/officeDocument/2006/relationships/hyperlink" Target="http://www.CASEce.com" TargetMode="External" Id="rId22" /><Relationship Type="http://schemas.openxmlformats.org/officeDocument/2006/relationships/header" Target="header2.xml" Id="rId27" /><Relationship Type="http://schemas.openxmlformats.org/officeDocument/2006/relationships/theme" Target="theme/theme1.xml" Id="rId30" /><Relationship Type="http://schemas.openxmlformats.org/officeDocument/2006/relationships/endnotes" Target="endnotes.xml" Id="rId8" /><Relationship Type="http://schemas.openxmlformats.org/officeDocument/2006/relationships/image" Target="/media/imagec.png" Id="R6d79f07b3ac54eea" /><Relationship Type="http://schemas.openxmlformats.org/officeDocument/2006/relationships/hyperlink" Target="https://www.facebook.com/caseconstructionequipment" TargetMode="External" Id="R257315a13bd14d52" /><Relationship Type="http://schemas.openxmlformats.org/officeDocument/2006/relationships/image" Target="/media/imaged.png" Id="R6d3fd0d4b2234fcf" /><Relationship Type="http://schemas.openxmlformats.org/officeDocument/2006/relationships/hyperlink" Target="https://twitter.com/#!/casece" TargetMode="External" Id="R0fdeebcdd0e94ace" /><Relationship Type="http://schemas.openxmlformats.org/officeDocument/2006/relationships/image" Target="/media/imagee.png" Id="Rbab17efef4ec483b" /><Relationship Type="http://schemas.openxmlformats.org/officeDocument/2006/relationships/hyperlink" Target="https://www.youtube.com/user/Caseatwork" TargetMode="External" Id="R5fed5a6eb9014078" /><Relationship Type="http://schemas.openxmlformats.org/officeDocument/2006/relationships/image" Target="/media/imagef.png" Id="Rfe036ecb80af4e30" /><Relationship Type="http://schemas.openxmlformats.org/officeDocument/2006/relationships/hyperlink" Target="https://www.linkedin.com/company/case-construction-equipment" TargetMode="External" Id="R23928ce651be4e9d" /></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18fbfd49-c8e6-4618-a77f-5ef25245836c" origin="userSelected">
  <element uid="4ecbf47d-2ec6-497d-85fc-f65b66e62fe7" value=""/>
  <element uid="588104ae-2895-48f0-94e0-4417fcf0f7f0"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E84E073D418E04D82F7095C75FFCCF4" ma:contentTypeVersion="12" ma:contentTypeDescription="Create a new document." ma:contentTypeScope="" ma:versionID="786b14168d4f91868a3dfd08db1bc3e5">
  <xsd:schema xmlns:xsd="http://www.w3.org/2001/XMLSchema" xmlns:xs="http://www.w3.org/2001/XMLSchema" xmlns:p="http://schemas.microsoft.com/office/2006/metadata/properties" xmlns:ns2="ae82bc55-adb9-499f-a89d-8cc34ff9b62e" xmlns:ns3="ee50a320-7cab-480e-8dab-74586aaed348" targetNamespace="http://schemas.microsoft.com/office/2006/metadata/properties" ma:root="true" ma:fieldsID="405060b1ede95acee232d8708bdb2804" ns2:_="" ns3:_="">
    <xsd:import namespace="ae82bc55-adb9-499f-a89d-8cc34ff9b62e"/>
    <xsd:import namespace="ee50a320-7cab-480e-8dab-74586aaed3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2bc55-adb9-499f-a89d-8cc34ff9b6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50a320-7cab-480e-8dab-74586aaed34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6E48F4-67C3-45E6-B4BE-B6630A9ADD0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F365E44-C153-45A6-BEC9-D7F3B5B11E6A}">
  <ds:schemaRefs>
    <ds:schemaRef ds:uri="http://schemas.openxmlformats.org/officeDocument/2006/bibliography"/>
  </ds:schemaRefs>
</ds:datastoreItem>
</file>

<file path=customXml/itemProps3.xml><?xml version="1.0" encoding="utf-8"?>
<ds:datastoreItem xmlns:ds="http://schemas.openxmlformats.org/officeDocument/2006/customXml" ds:itemID="{BECEEACE-45CC-4A71-A835-703E691ADB92}"/>
</file>

<file path=customXml/itemProps4.xml><?xml version="1.0" encoding="utf-8"?>
<ds:datastoreItem xmlns:ds="http://schemas.openxmlformats.org/officeDocument/2006/customXml" ds:itemID="{307B5404-8D11-4956-994A-E099485669EF}"/>
</file>

<file path=customXml/itemProps5.xml><?xml version="1.0" encoding="utf-8"?>
<ds:datastoreItem xmlns:ds="http://schemas.openxmlformats.org/officeDocument/2006/customXml" ds:itemID="{57E2A75A-465B-4F6C-9139-9719F7C2A5A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PresentationFormat/>
  <ap:Slides>0</ap:Slides>
  <ap:Notes>0</ap:Notes>
  <ap:HiddenSlides>0</ap:HiddenSlides>
  <ap:MMClips>0</ap:MMClips>
  <ap:ScaleCrop>false</ap:ScaleCrop>
  <ap:Company>Hewlett-Packard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CNH INDUSTRIAL</dc:title>
  <dc:subject/>
  <dc:creator>Katja Winkelmann</dc:creator>
  <keywords/>
  <lastModifiedBy>Brad Kilner</lastModifiedBy>
  <revision>4</revision>
  <lastPrinted>2016-09-07T09:20:00.0000000Z</lastPrinted>
  <dcterms:created xsi:type="dcterms:W3CDTF">2020-06-04T07:27:00.0000000Z</dcterms:created>
  <dcterms:modified xsi:type="dcterms:W3CDTF">2020-06-05T06:54:04.4791002Z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1033-9.1.0.4246</vt:lpwstr>
  </property>
  <property fmtid="{D5CDD505-2E9C-101B-9397-08002B2CF9AE}" pid="3" name="docIndexRef">
    <vt:lpwstr>9b353d0c-c87f-4ac9-ba9d-99b2ce30f791</vt:lpwstr>
  </property>
  <property fmtid="{D5CDD505-2E9C-101B-9397-08002B2CF9AE}" pid="4" name="bjSaver">
    <vt:lpwstr>nLyR4HS08U+6cYA5FRcj+CcI+JUHzUNm</vt:lpwstr>
  </property>
  <property fmtid="{D5CDD505-2E9C-101B-9397-08002B2CF9AE}" pid="5" name="bjDocumentLabelXML">
    <vt:lpwstr>&lt;?xml version="1.0" encoding="us-ascii"?&gt;&lt;sisl xmlns:xsi="http://www.w3.org/2001/XMLSchema-instance" xmlns:xsd="http://www.w3.org/2001/XMLSchema" sislVersion="0" policy="18fbfd49-c8e6-4618-a77f-5ef25245836c" origin="userSelected" xmlns="http://www.boldonj</vt:lpwstr>
  </property>
  <property fmtid="{D5CDD505-2E9C-101B-9397-08002B2CF9AE}" pid="6" name="bjDocumentLabelXML-0">
    <vt:lpwstr>ames.com/2008/01/sie/internal/label"&gt;&lt;element uid="4ecbf47d-2ec6-497d-85fc-f65b66e62fe7" value="" /&gt;&lt;element uid="588104ae-2895-48f0-94e0-4417fcf0f7f0" value="" /&gt;&lt;/sisl&gt;</vt:lpwstr>
  </property>
  <property fmtid="{D5CDD505-2E9C-101B-9397-08002B2CF9AE}" pid="7" name="bjDocumentSecurityLabel">
    <vt:lpwstr>CNH Industrial: GENERAL BUSINESS  Contains no personal data</vt:lpwstr>
  </property>
  <property fmtid="{D5CDD505-2E9C-101B-9397-08002B2CF9AE}" pid="8" name="CNH-LabelledBy:">
    <vt:lpwstr>UH050,10.09.2018 13:48:02,GENERAL BUSINESS</vt:lpwstr>
  </property>
  <property fmtid="{D5CDD505-2E9C-101B-9397-08002B2CF9AE}" pid="9" name="CNH-Classification">
    <vt:lpwstr>[GENERAL BUSINESS - Contains no personal data]</vt:lpwstr>
  </property>
  <property fmtid="{D5CDD505-2E9C-101B-9397-08002B2CF9AE}" pid="10" name="ContentTypeId">
    <vt:lpwstr>0x0101009E84E073D418E04D82F7095C75FFCCF4</vt:lpwstr>
  </property>
</Properties>
</file>