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rFonts w:ascii="Gill Sans MT" w:eastAsia="Gill Sans MT" w:hAnsi="Gill Sans MT" w:cs="Arial"/>
          <w:b/>
          <w:bCs/>
          <w:color w:val="000000"/>
          <w:sz w:val="24"/>
          <w:szCs w:val="24"/>
          <w:lang w:val="de-AT" w:eastAsia="it-IT"/>
        </w:rPr>
      </w:pPr>
      <w:bookmarkStart w:id="0" w:name="_Hlk527710660"/>
      <w:bookmarkStart w:id="1" w:name="_Hlk510438457"/>
      <w:bookmarkStart w:id="2" w:name="_GoBack"/>
      <w:r>
        <w:rPr>
          <w:rFonts w:ascii="Gill Sans MT" w:eastAsia="Gill Sans MT" w:hAnsi="Gill Sans MT" w:cs="Arial"/>
          <w:b/>
          <w:bCs/>
          <w:color w:val="000000"/>
          <w:sz w:val="24"/>
          <w:szCs w:val="24"/>
          <w:lang w:val="de-AT" w:eastAsia="it-IT"/>
        </w:rPr>
        <w:t>CASE Maschinen präparieren das Spielfeld für historisches Fußballspiel in Florenz</w:t>
      </w:r>
      <w:bookmarkEnd w:id="2"/>
    </w:p>
    <w:p>
      <w:pPr>
        <w:rPr>
          <w:rFonts w:ascii="Gill Sans MT" w:eastAsia="Gill Sans MT" w:hAnsi="Gill Sans MT"/>
          <w:lang w:val="de-AT"/>
        </w:rPr>
      </w:pPr>
    </w:p>
    <w:p>
      <w:pPr>
        <w:rPr>
          <w:rFonts w:ascii="Gill Sans MT" w:eastAsia="Gill Sans MT" w:hAnsi="Gill Sans MT"/>
          <w:lang w:val="de-DE"/>
        </w:rPr>
      </w:pPr>
      <w:r>
        <w:rPr>
          <w:rFonts w:ascii="Gill Sans MT" w:eastAsia="Gill Sans MT" w:hAnsi="Gill Sans MT"/>
          <w:lang w:val="de-DE"/>
        </w:rPr>
        <w:t xml:space="preserve">Turin, </w:t>
      </w:r>
      <w:r>
        <w:rPr>
          <w:rFonts w:ascii="Gill Sans MT" w:eastAsia="Gill Sans MT" w:hAnsi="Gill Sans MT"/>
          <w:color w:val="0070C0"/>
          <w:lang w:val="de-DE"/>
        </w:rPr>
        <w:t xml:space="preserve">XX. </w:t>
      </w:r>
      <w:r>
        <w:rPr>
          <w:rFonts w:ascii="Gill Sans MT" w:eastAsia="Gill Sans MT" w:hAnsi="Gill Sans MT"/>
          <w:lang w:val="de-DE"/>
        </w:rPr>
        <w:t>Oktober 2021</w:t>
      </w:r>
    </w:p>
    <w:p>
      <w:pPr>
        <w:rPr>
          <w:rFonts w:ascii="Gill Sans MT" w:eastAsia="Gill Sans MT" w:hAnsi="Gill Sans MT"/>
          <w:lang w:val="de-DE"/>
        </w:rPr>
      </w:pPr>
    </w:p>
    <w:p>
      <w:pPr>
        <w:rPr>
          <w:rFonts w:ascii="Gill Sans MT" w:eastAsia="Gill Sans MT" w:hAnsi="Gill Sans MT"/>
          <w:lang w:val="de-DE"/>
        </w:rPr>
      </w:pPr>
      <w:r>
        <w:rPr>
          <w:rFonts w:ascii="Gill Sans MT" w:eastAsia="Gill Sans MT" w:hAnsi="Gill Sans MT"/>
          <w:lang w:val="de-DE"/>
        </w:rPr>
        <w:t xml:space="preserve">In Florenz gingen kürzlich zwei CASE-Maschinen in einen außergewöhnlichen Einsatz zur Vorbereitung eines historischen Spielfelds im Herzen der Stadt, auf der eindrucksvollen Piazza Santa Croce. </w:t>
      </w:r>
    </w:p>
    <w:p>
      <w:pPr>
        <w:rPr>
          <w:rFonts w:ascii="Gill Sans MT" w:eastAsia="Gill Sans MT" w:hAnsi="Gill Sans MT"/>
          <w:lang w:val="de-DE"/>
        </w:rPr>
      </w:pPr>
      <w:r>
        <w:rPr>
          <w:rFonts w:ascii="Gill Sans MT" w:eastAsia="Gill Sans MT" w:hAnsi="Gill Sans MT"/>
          <w:lang w:val="de-DE"/>
        </w:rPr>
        <w:t xml:space="preserve">Mitte September fand dort das Calcio </w:t>
      </w:r>
      <w:proofErr w:type="spellStart"/>
      <w:r>
        <w:rPr>
          <w:rFonts w:ascii="Gill Sans MT" w:eastAsia="Gill Sans MT" w:hAnsi="Gill Sans MT"/>
          <w:lang w:val="de-DE"/>
        </w:rPr>
        <w:t>Storico</w:t>
      </w:r>
      <w:proofErr w:type="spellEnd"/>
      <w:r>
        <w:rPr>
          <w:rFonts w:ascii="Gill Sans MT" w:eastAsia="Gill Sans MT" w:hAnsi="Gill Sans MT"/>
          <w:lang w:val="de-DE"/>
        </w:rPr>
        <w:t xml:space="preserve"> Fiorentino statt, was übersetzt so viel wie ‚Historisches Florentiner Fußballspiel‘ bedeutet. Das Spiel wird in Kostümen ausgetragen und reicht in seinen Ursprüngen bis ins 16. Jahrhundert zurück. Die traditionsreiche Veranstaltung ist eine Mischung aus Fußball, Rugby und Ringen, bei der normalerweise Mannschaften aus den vier historischen Stadtteilen mit 27 Spielern oder „Kickern“ gegeneinander antreten. Heinrich III. von Frankreich bezeichnete den Wettkampf einmal als „zu klein für einen Krieg und zu hart, um ein Spiel zu sein“.</w:t>
      </w:r>
    </w:p>
    <w:p>
      <w:pPr>
        <w:rPr>
          <w:rFonts w:ascii="Gill Sans MT" w:eastAsia="Gill Sans MT" w:hAnsi="Gill Sans MT"/>
          <w:lang w:val="de-DE"/>
        </w:rPr>
      </w:pPr>
      <w:r>
        <w:rPr>
          <w:rFonts w:ascii="Gill Sans MT" w:eastAsia="Gill Sans MT" w:hAnsi="Gill Sans MT"/>
          <w:lang w:val="de-DE"/>
        </w:rPr>
        <w:t xml:space="preserve">Nach einer Absage 2020 erfolgte die diesjährige Austragung aufgrund der Covid-Bestimmungen unter Ausschluss der Öffentlichkeit und wurde stattdessen zum ersten Mal weltweit live übertragen. In diesem Jahr waren nur zwei Mannschaften beteiligt: die Verdi von San Giovanni und </w:t>
      </w:r>
      <w:proofErr w:type="gramStart"/>
      <w:r>
        <w:rPr>
          <w:rFonts w:ascii="Gill Sans MT" w:eastAsia="Gill Sans MT" w:hAnsi="Gill Sans MT"/>
          <w:lang w:val="de-DE"/>
        </w:rPr>
        <w:t>die Azzurri</w:t>
      </w:r>
      <w:proofErr w:type="gramEnd"/>
      <w:r>
        <w:rPr>
          <w:rFonts w:ascii="Gill Sans MT" w:eastAsia="Gill Sans MT" w:hAnsi="Gill Sans MT"/>
          <w:lang w:val="de-DE"/>
        </w:rPr>
        <w:t xml:space="preserve"> von Santa Croce, die das Match 12:1 gewannen. </w:t>
      </w:r>
    </w:p>
    <w:p>
      <w:pPr>
        <w:rPr>
          <w:rFonts w:ascii="Gill Sans MT" w:eastAsia="Gill Sans MT" w:hAnsi="Gill Sans MT"/>
          <w:lang w:val="de-DE"/>
        </w:rPr>
      </w:pPr>
      <w:r>
        <w:rPr>
          <w:rFonts w:ascii="Gill Sans MT" w:eastAsia="Gill Sans MT" w:hAnsi="Gill Sans MT"/>
          <w:lang w:val="de-DE"/>
        </w:rPr>
        <w:t xml:space="preserve">Für die Veranstaltung wurde der Platz so hergerichtet, wie er in den Anfängen des Spiels vor Jahrhunderten ausgesehen hatte, nämlich als staubige, ungepflasterte Esplanade. Zur Vorbereitung des Spielfelds wurde von der Firma </w:t>
      </w:r>
      <w:proofErr w:type="spellStart"/>
      <w:r>
        <w:rPr>
          <w:rFonts w:ascii="Gill Sans MT" w:eastAsia="Gill Sans MT" w:hAnsi="Gill Sans MT"/>
          <w:lang w:val="de-DE"/>
        </w:rPr>
        <w:t>Vangi</w:t>
      </w:r>
      <w:proofErr w:type="spellEnd"/>
      <w:r>
        <w:rPr>
          <w:rFonts w:ascii="Gill Sans MT" w:eastAsia="Gill Sans MT" w:hAnsi="Gill Sans MT"/>
          <w:lang w:val="de-DE"/>
        </w:rPr>
        <w:t xml:space="preserve"> </w:t>
      </w:r>
      <w:proofErr w:type="spellStart"/>
      <w:r>
        <w:rPr>
          <w:rFonts w:ascii="Gill Sans MT" w:eastAsia="Gill Sans MT" w:hAnsi="Gill Sans MT"/>
          <w:lang w:val="de-DE"/>
        </w:rPr>
        <w:t>Srl</w:t>
      </w:r>
      <w:proofErr w:type="spellEnd"/>
      <w:r>
        <w:rPr>
          <w:rFonts w:ascii="Gill Sans MT" w:eastAsia="Gill Sans MT" w:hAnsi="Gill Sans MT"/>
          <w:lang w:val="de-DE"/>
        </w:rPr>
        <w:t xml:space="preserve"> in nur zwei Tagen Sand aufgeschüttet. Die </w:t>
      </w:r>
      <w:proofErr w:type="spellStart"/>
      <w:r>
        <w:rPr>
          <w:rFonts w:ascii="Gill Sans MT" w:eastAsia="Gill Sans MT" w:hAnsi="Gill Sans MT"/>
          <w:lang w:val="de-DE"/>
        </w:rPr>
        <w:t>Vangri</w:t>
      </w:r>
      <w:proofErr w:type="spellEnd"/>
      <w:r>
        <w:rPr>
          <w:rFonts w:ascii="Gill Sans MT" w:eastAsia="Gill Sans MT" w:hAnsi="Gill Sans MT"/>
          <w:lang w:val="de-DE"/>
        </w:rPr>
        <w:t xml:space="preserve"> </w:t>
      </w:r>
      <w:proofErr w:type="spellStart"/>
      <w:r>
        <w:rPr>
          <w:rFonts w:ascii="Gill Sans MT" w:eastAsia="Gill Sans MT" w:hAnsi="Gill Sans MT"/>
          <w:lang w:val="de-DE"/>
        </w:rPr>
        <w:t>Srl</w:t>
      </w:r>
      <w:proofErr w:type="spellEnd"/>
      <w:r>
        <w:rPr>
          <w:rFonts w:ascii="Gill Sans MT" w:eastAsia="Gill Sans MT" w:hAnsi="Gill Sans MT"/>
          <w:lang w:val="de-DE"/>
        </w:rPr>
        <w:t xml:space="preserve"> kommt aus </w:t>
      </w:r>
      <w:proofErr w:type="spellStart"/>
      <w:r>
        <w:rPr>
          <w:rFonts w:ascii="Gill Sans MT" w:eastAsia="Gill Sans MT" w:hAnsi="Gill Sans MT"/>
          <w:lang w:val="de-DE"/>
        </w:rPr>
        <w:t>Calenzano</w:t>
      </w:r>
      <w:proofErr w:type="spellEnd"/>
      <w:r>
        <w:rPr>
          <w:rFonts w:ascii="Gill Sans MT" w:eastAsia="Gill Sans MT" w:hAnsi="Gill Sans MT"/>
          <w:lang w:val="de-DE"/>
        </w:rPr>
        <w:t xml:space="preserve"> bei Florenz und operiert in der Toskana. Zu ihren Kunden gehören große Industriekonzerne, Unternehmen und öffentlichen Einrichtungen. Bei den Arbeiten waren zwei CASE Maschinen im Einsatz: ein Radlader 721G und ein Raupenkompaktlader TV450.</w:t>
      </w:r>
    </w:p>
    <w:p>
      <w:pPr>
        <w:rPr>
          <w:rFonts w:ascii="Gill Sans MT" w:eastAsia="Gill Sans MT" w:hAnsi="Gill Sans MT"/>
          <w:lang w:val="de-DE"/>
        </w:rPr>
      </w:pPr>
      <w:r>
        <w:rPr>
          <w:rFonts w:ascii="Gill Sans MT" w:eastAsia="Gill Sans MT" w:hAnsi="Gill Sans MT"/>
          <w:lang w:val="de-DE"/>
        </w:rPr>
        <w:t xml:space="preserve">Wie Fulvio </w:t>
      </w:r>
      <w:proofErr w:type="spellStart"/>
      <w:r>
        <w:rPr>
          <w:rFonts w:ascii="Gill Sans MT" w:eastAsia="Gill Sans MT" w:hAnsi="Gill Sans MT"/>
          <w:lang w:val="de-DE"/>
        </w:rPr>
        <w:t>Vangi</w:t>
      </w:r>
      <w:proofErr w:type="spellEnd"/>
      <w:r>
        <w:rPr>
          <w:rFonts w:ascii="Gill Sans MT" w:eastAsia="Gill Sans MT" w:hAnsi="Gill Sans MT"/>
          <w:lang w:val="de-DE"/>
        </w:rPr>
        <w:t xml:space="preserve">, Geschäftsführer der </w:t>
      </w:r>
      <w:proofErr w:type="spellStart"/>
      <w:r>
        <w:rPr>
          <w:rFonts w:ascii="Gill Sans MT" w:eastAsia="Gill Sans MT" w:hAnsi="Gill Sans MT"/>
          <w:lang w:val="de-DE"/>
        </w:rPr>
        <w:t>Vangi</w:t>
      </w:r>
      <w:proofErr w:type="spellEnd"/>
      <w:r>
        <w:rPr>
          <w:rFonts w:ascii="Gill Sans MT" w:eastAsia="Gill Sans MT" w:hAnsi="Gill Sans MT"/>
          <w:lang w:val="de-DE"/>
        </w:rPr>
        <w:t xml:space="preserve"> </w:t>
      </w:r>
      <w:proofErr w:type="spellStart"/>
      <w:r>
        <w:rPr>
          <w:rFonts w:ascii="Gill Sans MT" w:eastAsia="Gill Sans MT" w:hAnsi="Gill Sans MT"/>
          <w:lang w:val="de-DE"/>
        </w:rPr>
        <w:t>Srl</w:t>
      </w:r>
      <w:proofErr w:type="spellEnd"/>
      <w:r>
        <w:rPr>
          <w:rFonts w:ascii="Gill Sans MT" w:eastAsia="Gill Sans MT" w:hAnsi="Gill Sans MT"/>
          <w:lang w:val="de-DE"/>
        </w:rPr>
        <w:t>, erklärt, wurden 600 m</w:t>
      </w:r>
      <w:r>
        <w:rPr>
          <w:rFonts w:ascii="Gill Sans MT" w:eastAsia="Gill Sans MT" w:hAnsi="Gill Sans MT"/>
          <w:vertAlign w:val="superscript"/>
          <w:lang w:val="de-DE"/>
        </w:rPr>
        <w:t>3</w:t>
      </w:r>
      <w:r>
        <w:rPr>
          <w:rFonts w:ascii="Gill Sans MT" w:eastAsia="Gill Sans MT" w:hAnsi="Gill Sans MT"/>
          <w:lang w:val="de-DE"/>
        </w:rPr>
        <w:t xml:space="preserve"> Sand nach Santa Croce gebracht. Dazu waren 30 Fahrten waren notwendig. Fulvio </w:t>
      </w:r>
      <w:proofErr w:type="spellStart"/>
      <w:r>
        <w:rPr>
          <w:rFonts w:ascii="Gill Sans MT" w:eastAsia="Gill Sans MT" w:hAnsi="Gill Sans MT"/>
          <w:lang w:val="de-DE"/>
        </w:rPr>
        <w:t>Vangi</w:t>
      </w:r>
      <w:proofErr w:type="spellEnd"/>
      <w:r>
        <w:rPr>
          <w:rFonts w:ascii="Gill Sans MT" w:eastAsia="Gill Sans MT" w:hAnsi="Gill Sans MT"/>
          <w:lang w:val="de-DE"/>
        </w:rPr>
        <w:t xml:space="preserve"> meint dazu: „Aber dank der beiden CASE Maschinen, die im Tandem arbeiteten, konnten wir die Lastwagen in nur zwei Tagen entladen und den Sand gründlich verteilen“.</w:t>
      </w:r>
    </w:p>
    <w:p>
      <w:pPr>
        <w:rPr>
          <w:rFonts w:ascii="Gill Sans MT" w:eastAsia="Gill Sans MT" w:hAnsi="Gill Sans MT"/>
          <w:lang w:val="de-DE"/>
        </w:rPr>
      </w:pPr>
      <w:r>
        <w:rPr>
          <w:rFonts w:ascii="Gill Sans MT" w:eastAsia="Gill Sans MT" w:hAnsi="Gill Sans MT"/>
          <w:lang w:val="de-DE"/>
        </w:rPr>
        <w:t>Weitere zwei Tage wurden dann später benötigt, um den gepflasterten Boden der Piazza Santa Croce zu reinigen und ihn wieder so herzurichten, wie es Tausende von Touristen, die jährlich die Stadt besuchen, erwarten.</w:t>
      </w:r>
    </w:p>
    <w:p>
      <w:pPr>
        <w:rPr>
          <w:rFonts w:ascii="Gill Sans MT" w:eastAsia="Gill Sans MT" w:hAnsi="Gill Sans MT"/>
          <w:b/>
          <w:bCs/>
          <w:lang w:val="de-AT"/>
        </w:rPr>
      </w:pPr>
      <w:r>
        <w:rPr>
          <w:rFonts w:ascii="Gill Sans MT" w:eastAsia="Gill Sans MT" w:hAnsi="Gill Sans MT"/>
          <w:lang w:val="de-DE"/>
        </w:rPr>
        <w:t>Das Spiel war nicht nur für Vangi ein glanzvolles Vorzeigeprojekt, sondern auch für Ghetti, den CASE Händler für die Region Toskana: „</w:t>
      </w:r>
      <w:proofErr w:type="spellStart"/>
      <w:r>
        <w:rPr>
          <w:rFonts w:ascii="Gill Sans MT" w:eastAsia="Gill Sans MT" w:hAnsi="Gill Sans MT"/>
          <w:lang w:val="de-DE"/>
        </w:rPr>
        <w:t>Vangi</w:t>
      </w:r>
      <w:proofErr w:type="spellEnd"/>
      <w:r>
        <w:rPr>
          <w:rFonts w:ascii="Gill Sans MT" w:eastAsia="Gill Sans MT" w:hAnsi="Gill Sans MT"/>
          <w:lang w:val="de-DE"/>
        </w:rPr>
        <w:t xml:space="preserve"> ist seit 2017 unser Kunde und wir freuen uns über die vertrauensvolle Beziehung, die dabei entstanden ist“, sagt Lorenzo Ghetti, Geschäftsführer bei Ghetti. „Die CASE Flotte des Unternehmens umfasst insgesamt zehn Maschinen, darunter Raupenbagger, Radlader, Minibagger und ein Raupenkompaktlader. </w:t>
      </w:r>
      <w:r>
        <w:rPr>
          <w:rFonts w:ascii="Gill Sans MT" w:eastAsia="Gill Sans MT" w:hAnsi="Gill Sans MT"/>
          <w:b/>
          <w:bCs/>
          <w:lang w:val="de-AT"/>
        </w:rPr>
        <w:t>Ghetti Nutz- und Industriefahrzeuge</w:t>
      </w:r>
    </w:p>
    <w:p>
      <w:pPr>
        <w:rPr>
          <w:rFonts w:ascii="Gill Sans MT" w:eastAsia="Gill Sans MT" w:hAnsi="Gill Sans MT"/>
          <w:lang w:val="de-DE"/>
        </w:rPr>
      </w:pPr>
      <w:r>
        <w:rPr>
          <w:rFonts w:ascii="Gill Sans MT" w:eastAsia="Gill Sans MT" w:hAnsi="Gill Sans MT"/>
          <w:lang w:val="de-DE"/>
        </w:rPr>
        <w:lastRenderedPageBreak/>
        <w:t>Ghetti Commercial and Industrial Vehicles wurde 1956 von dem seit 1938 bestehenden Unternehmen Auto-meccanica Ghetti gegründet und war zunächst Händler für SIMCA, OM Industriefahrzeuge und Gabelstapler. Seit 1975, dem Geburtsjahr von IVECO, ist das Unternehmen IVECO-Händler; seit 2012 ist es ASTRA-Händler für die Toskana und die Provinz La Spezia. Seit 2017 ist Ghetti CASE Händler für die Toskana.</w:t>
      </w:r>
    </w:p>
    <w:p>
      <w:pPr>
        <w:rPr>
          <w:rFonts w:ascii="Gill Sans MT" w:eastAsia="Gill Sans MT" w:hAnsi="Gill Sans MT"/>
          <w:lang w:val="de-DE"/>
        </w:rPr>
      </w:pPr>
      <w:r>
        <w:rPr>
          <w:rFonts w:ascii="Gill Sans MT" w:eastAsia="Gill Sans MT" w:hAnsi="Gill Sans MT"/>
          <w:lang w:val="de-DE"/>
        </w:rPr>
        <w:t>Das Autohaus verfügt über drei Verkaufsbüros in Florenz, Arezzo und Sarzana sowie über ein Netz von Vertragswerkstätten in der gesamten Toskana. Rund 90 Mitarbeiter kümmern sich auch um die Vermietung und planmäßige Wartung von Baufahrzeugen und Erdbewegungsmaschinen.</w:t>
      </w:r>
    </w:p>
    <w:p>
      <w:pPr>
        <w:rPr>
          <w:rFonts w:ascii="Gill Sans MT" w:eastAsia="Gill Sans MT" w:hAnsi="Gill Sans MT"/>
          <w:lang w:val="de-DE"/>
        </w:rPr>
      </w:pPr>
      <w:r>
        <w:rPr>
          <w:rFonts w:ascii="Gill Sans MT" w:eastAsia="Gill Sans MT" w:hAnsi="Gill Sans MT"/>
          <w:lang w:val="de-DE"/>
        </w:rPr>
        <w:t>„Kundennähe und Service sind für uns von grundlegender Bedeutung“, erklärt Lorenzo Ghetti. „Wir verfügen über spezialisierte Berater, die uns in kaufmännischen, technischen und finanziellen Fragen beraten. Und was den Kundendienst betrifft, so ist Ghetti seit jeher für seine Fähigkeit bekannt, einzugreifen und Probleme zu lösen, und zwar sowohl in der hauseigenen Werkstatt, die von 7 bis 20 Uhr geöffnet ist, als auch im über die gesamte Toskana verteilten Werkstattnetz, das rund um die Uhr erreichbar ist“.</w:t>
      </w:r>
    </w:p>
    <w:p>
      <w:pPr>
        <w:rPr>
          <w:rFonts w:ascii="Gill Sans MT" w:eastAsia="Gill Sans MT" w:hAnsi="Gill Sans MT"/>
          <w:lang w:val="de-DE"/>
        </w:rPr>
      </w:pPr>
    </w:p>
    <w:bookmarkEnd w:id="0"/>
    <w:bookmarkEnd w:id="1"/>
    <w:p>
      <w:pPr>
        <w:tabs>
          <w:tab w:val="left" w:pos="963"/>
        </w:tabs>
        <w:spacing w:before="100" w:beforeAutospacing="1" w:after="100" w:afterAutospacing="1"/>
        <w:rPr>
          <w:rFonts w:ascii="HelveticaNeueLT Std" w:hAnsi="HelveticaNeueLT Std"/>
          <w:lang w:val="de-DE"/>
        </w:rPr>
      </w:pPr>
      <w:r>
        <w:rPr>
          <w:rFonts w:ascii="HelveticaNeueLT Std" w:hAnsi="HelveticaNeueLT Std" w:cs="Arial"/>
          <w:szCs w:val="24"/>
          <w:lang w:val="de-DE" w:eastAsia="es-ES"/>
        </w:rPr>
        <w:t xml:space="preserve">Von unserer Website können Sie Texte, Videos und Bilddateien in hoher Auflösung (JPG 300 DPI, CMYK) zu dieser Pressemeldung herunterladen: </w:t>
      </w:r>
      <w:hyperlink r:id="rId11" w:history="1">
        <w:r>
          <w:rPr>
            <w:rStyle w:val="Hyperlink"/>
            <w:rFonts w:ascii="HelveticaNeueLT Std" w:hAnsi="HelveticaNeueLT Std" w:cs="Arial"/>
            <w:szCs w:val="24"/>
            <w:lang w:val="de-DE" w:eastAsia="es-ES"/>
          </w:rPr>
          <w:t>www.casecetools.com/press-kit</w:t>
        </w:r>
      </w:hyperlink>
    </w:p>
    <w:p>
      <w:pPr>
        <w:spacing w:before="100" w:beforeAutospacing="1" w:after="100" w:afterAutospacing="1"/>
        <w:rPr>
          <w:rFonts w:ascii="HelveticaNeueLT Std" w:hAnsi="HelveticaNeueLT Std"/>
          <w:i/>
          <w:iCs/>
          <w:sz w:val="16"/>
          <w:szCs w:val="16"/>
          <w:lang w:val="de-DE"/>
        </w:rPr>
      </w:pPr>
      <w:r>
        <w:rPr>
          <w:rFonts w:ascii="HelveticaNeueLT Std" w:hAnsi="HelveticaNeueLT Std" w:cs="Arial"/>
          <w:i/>
          <w:iCs/>
          <w:sz w:val="16"/>
          <w:szCs w:val="16"/>
          <w:lang w:val="de-DE"/>
        </w:rPr>
        <w:t>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w:t>
      </w:r>
      <w:r>
        <w:rPr>
          <w:rFonts w:ascii="HelveticaNeueLT Std" w:hAnsi="HelveticaNeueLT Std"/>
          <w:i/>
          <w:iCs/>
          <w:sz w:val="16"/>
          <w:szCs w:val="16"/>
          <w:lang w:val="de-DE"/>
        </w:rPr>
        <w:t xml:space="preserve"> </w:t>
      </w:r>
      <w:hyperlink r:id="rId12" w:history="1">
        <w:r>
          <w:rPr>
            <w:rStyle w:val="Hyperlink"/>
            <w:rFonts w:ascii="HelveticaNeueLT Std" w:hAnsi="HelveticaNeueLT Std"/>
            <w:i/>
            <w:iCs/>
            <w:lang w:val="de-DE"/>
          </w:rPr>
          <w:t>www.CASEce.com</w:t>
        </w:r>
      </w:hyperlink>
      <w:r>
        <w:rPr>
          <w:rFonts w:ascii="HelveticaNeueLT Std" w:hAnsi="HelveticaNeueLT Std"/>
          <w:i/>
          <w:iCs/>
          <w:sz w:val="16"/>
          <w:szCs w:val="16"/>
          <w:lang w:val="de-DE"/>
        </w:rPr>
        <w:t>.</w:t>
      </w:r>
    </w:p>
    <w:p>
      <w:pPr>
        <w:rPr>
          <w:rFonts w:ascii="HelveticaNeueLT Std" w:hAnsi="HelveticaNeueLT Std"/>
          <w:i/>
          <w:iCs/>
          <w:sz w:val="16"/>
          <w:szCs w:val="16"/>
          <w:lang w:val="de-DE"/>
        </w:rPr>
      </w:pPr>
      <w:r>
        <w:rPr>
          <w:rFonts w:ascii="HelveticaNeueLT Std" w:hAnsi="HelveticaNeueLT Std" w:cs="Arial"/>
          <w:i/>
          <w:iCs/>
          <w:sz w:val="16"/>
          <w:szCs w:val="16"/>
          <w:lang w:val="de-DE"/>
        </w:rPr>
        <w:t>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w:t>
      </w:r>
      <w:r>
        <w:rPr>
          <w:rFonts w:ascii="HelveticaNeueLT Std" w:hAnsi="HelveticaNeueLT Std"/>
          <w:i/>
          <w:iCs/>
          <w:sz w:val="16"/>
          <w:szCs w:val="16"/>
          <w:lang w:val="de-DE"/>
        </w:rPr>
        <w:t xml:space="preserve">: </w:t>
      </w:r>
      <w:hyperlink r:id="rId13" w:tooltip="file:///C:/Users/Nuria/AppData/Local/Microsoft/Windows/Temporary%20Internet%20Files/Content.Outlook/3POTRISZ/www.cnhindustrial.com" w:history="1">
        <w:r>
          <w:rPr>
            <w:rStyle w:val="Hyperlink"/>
            <w:rFonts w:ascii="HelveticaNeueLT Std" w:hAnsi="HelveticaNeueLT Std"/>
            <w:i/>
            <w:iCs/>
            <w:lang w:val="de-DE"/>
          </w:rPr>
          <w:t>www.cnhindustrial.com</w:t>
        </w:r>
      </w:hyperlink>
      <w:r>
        <w:rPr>
          <w:rFonts w:ascii="HelveticaNeueLT Std" w:hAnsi="HelveticaNeueLT Std"/>
          <w:i/>
          <w:iCs/>
          <w:sz w:val="16"/>
          <w:szCs w:val="16"/>
          <w:lang w:val="de-DE"/>
        </w:rPr>
        <w:t>.</w:t>
      </w:r>
    </w:p>
    <w:p>
      <w:pPr>
        <w:spacing w:before="100" w:beforeAutospacing="1" w:after="100" w:afterAutospacing="1" w:line="240" w:lineRule="auto"/>
        <w:jc w:val="center"/>
        <w:rPr>
          <w:lang w:val="it-IT"/>
        </w:rPr>
      </w:pPr>
    </w:p>
    <w:sectPr>
      <w:headerReference w:type="even" r:id="rId14"/>
      <w:headerReference w:type="default" r:id="rId15"/>
      <w:footerReference w:type="even" r:id="rId16"/>
      <w:footerReference w:type="default" r:id="rId17"/>
      <w:headerReference w:type="first" r:id="rId18"/>
      <w:footerReference w:type="first" r:id="rId19"/>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HelveticaNeueLT Std">
    <w:altName w:val="Arial"/>
    <w:panose1 w:val="020B0604020202020204"/>
    <w:charset w:val="00"/>
    <w:family w:val="swiss"/>
    <w:notTrueType/>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p>
    <w:pPr>
      <w:pStyle w:val="Fuzeile"/>
    </w:pPr>
  </w:p>
  <w:p>
    <w:pPr>
      <w:pStyle w:val="Fuzeile"/>
    </w:pPr>
  </w:p>
  <w:p>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
      <w:rPr>
        <w:noProof/>
        <w:lang w:val="it-IT" w:eastAsia="zh-CN"/>
      </w:rPr>
      <w:drawing>
        <wp:anchor distT="0" distB="0" distL="114300" distR="114300" simplePos="0" relativeHeight="251664384" behindDoc="1" locked="0" layoutInCell="1" allowOverlap="1">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589594"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trPr>
        <w:trHeight w:val="735"/>
      </w:trPr>
      <w:tc>
        <w:tcPr>
          <w:tcW w:w="2614" w:type="dxa"/>
          <w:shd w:val="clear" w:color="auto" w:fill="auto"/>
          <w:vAlign w:val="bottom"/>
        </w:tcPr>
        <w:p>
          <w:pPr>
            <w:pStyle w:val="04FOOTER"/>
            <w:ind w:right="-101"/>
          </w:pPr>
        </w:p>
      </w:tc>
      <w:tc>
        <w:tcPr>
          <w:tcW w:w="2835" w:type="dxa"/>
        </w:tcPr>
        <w:p>
          <w:pPr>
            <w:pStyle w:val="04FOOTER"/>
            <w:ind w:right="-101"/>
          </w:pPr>
        </w:p>
        <w:p>
          <w:pPr>
            <w:pStyle w:val="04FOOTER"/>
            <w:ind w:right="-101"/>
          </w:pPr>
        </w:p>
        <w:p>
          <w:pPr>
            <w:pStyle w:val="04FOOTER"/>
            <w:ind w:right="-101"/>
          </w:pPr>
        </w:p>
        <w:p>
          <w:pPr>
            <w:pStyle w:val="04FOOTER"/>
            <w:ind w:right="-101"/>
          </w:pPr>
        </w:p>
      </w:tc>
    </w:tr>
  </w:tbl>
  <w:p>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zh-CN"/>
      </w:rPr>
      <w:drawing>
        <wp:anchor distT="0" distB="0" distL="114300" distR="114300" simplePos="0" relativeHeight="251663360" behindDoc="1" locked="0" layoutInCell="1" allowOverlap="1">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171088"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5408" behindDoc="1" locked="0" layoutInCell="1" allowOverlap="1">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8071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
      <w:rPr>
        <w:noProof/>
        <w:lang w:val="it-IT" w:eastAsia="zh-CN"/>
      </w:rPr>
      <w:drawing>
        <wp:anchor distT="0" distB="0" distL="114300" distR="114300" simplePos="0" relativeHeight="251662336" behindDoc="1" locked="0" layoutInCell="1" allowOverlap="1">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49654"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0" distB="0" distL="114300" distR="114300" simplePos="0" relativeHeight="251660288" behindDoc="0" locked="0" layoutInCell="1" allowOverlap="1">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w16cex="http://schemas.microsoft.com/office/word/2018/wordml/cex" xmlns:w16="http://schemas.microsoft.com/office/word/2018/wordml" xmlns:w16sdtdh="http://schemas.microsoft.com/office/word/2020/wordml/sdtdatahash" xmlns:pic="http://schemas.openxmlformats.org/drawingml/2006/picture" xmlns:w10="urn:schemas-microsoft-com:office:word" xmlns:w="http://schemas.openxmlformats.org/wordprocessingml/2006/main" xmlns:v="urn:schemas-microsoft-com:vml" xmlns:o="urn:schemas-microsoft-com:office:office" xmlns:mv="urn:schemas-microsoft-com:mac:vml" xmlns:mo="http://schemas.microsoft.com/office/mac/office/2008/main" xmlns:a14="http://schemas.microsoft.com/office/drawing/2010/main" xmlns="">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w:pict>
            <v:line id="Line 35" style="mso-height-percent:0;mso-height-relative:page;mso-position-vertical-relative:page;mso-width-percent:0;mso-width-relative:page;mso-wrap-distance-bottom:0pt;mso-wrap-distance-left:9pt;mso-wrap-distance-right:9pt;mso-wrap-distance-top:0pt;mso-wrap-style:square;position:absolute;visibility:visible;z-index:251661312" o:spid="_x0000_s2049" strokeweight="0.11pt" from="-153.1pt,264.5pt" to="-99.1pt,264.5pt"/>
          </w:pict>
        </mc:Fallback>
      </mc:AlternateContent>
    </w:r>
    <w:r>
      <w:rPr>
        <w:noProof/>
        <w:lang w:val="it-IT" w:eastAsia="zh-CN"/>
      </w:rPr>
      <mc:AlternateContent>
        <mc:Choice Requires="wps">
          <w:drawing>
            <wp:anchor distT="0" distB="0" distL="114300" distR="114300" simplePos="0" relativeHeight="251658240" behindDoc="0" locked="0" layoutInCell="1" allowOverlap="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w16cex="http://schemas.microsoft.com/office/word/2018/wordml/cex" xmlns:w16="http://schemas.microsoft.com/office/word/2018/wordml" xmlns:w16sdtdh="http://schemas.microsoft.com/office/word/2020/wordml/sdtdatahash" xmlns:pic="http://schemas.openxmlformats.org/drawingml/2006/picture" xmlns:w10="urn:schemas-microsoft-com:office:word" xmlns:w="http://schemas.openxmlformats.org/wordprocessingml/2006/main" xmlns:v="urn:schemas-microsoft-com:vml" xmlns:o="urn:schemas-microsoft-com:office:office" xmlns:mv="urn:schemas-microsoft-com:mac:vml" xmlns:mo="http://schemas.microsoft.com/office/mac/office/2008/main" xmlns:a14="http://schemas.microsoft.com/office/drawing/2010/main" xmlns="">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w:pict>
            <v:line id="Line 34" style="mso-height-percent:0;mso-height-relative:page;mso-width-percent:0;mso-width-relative:page;mso-wrap-distance-bottom:0pt;mso-wrap-distance-left:9pt;mso-wrap-distance-right:9pt;mso-wrap-distance-top:0pt;mso-wrap-style:square;position:absolute;visibility:visible;z-index:251659264" o:spid="_x0000_s2050" strokeweight="0.11pt" from="-0.05pt,35.85pt" to="557.95pt,35.8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CD38F3"/>
    <w:multiLevelType w:val="hybridMultilevel"/>
    <w:tmpl w:val="209681F2"/>
    <w:lvl w:ilvl="0" w:tplc="87B80768">
      <w:start w:val="1"/>
      <w:numFmt w:val="bullet"/>
      <w:lvlText w:val=""/>
      <w:lvlJc w:val="left"/>
      <w:pPr>
        <w:ind w:left="828" w:hanging="360"/>
      </w:pPr>
      <w:rPr>
        <w:rFonts w:ascii="Symbol" w:hAnsi="Symbol" w:hint="default"/>
      </w:rPr>
    </w:lvl>
    <w:lvl w:ilvl="1" w:tplc="9E34AA4A">
      <w:start w:val="1"/>
      <w:numFmt w:val="bullet"/>
      <w:lvlText w:val="o"/>
      <w:lvlJc w:val="left"/>
      <w:pPr>
        <w:ind w:left="1548" w:hanging="360"/>
      </w:pPr>
      <w:rPr>
        <w:rFonts w:ascii="Courier New" w:hAnsi="Courier New" w:cs="Courier New" w:hint="default"/>
      </w:rPr>
    </w:lvl>
    <w:lvl w:ilvl="2" w:tplc="6458F138">
      <w:start w:val="1"/>
      <w:numFmt w:val="bullet"/>
      <w:lvlText w:val=""/>
      <w:lvlJc w:val="left"/>
      <w:pPr>
        <w:ind w:left="2268" w:hanging="360"/>
      </w:pPr>
      <w:rPr>
        <w:rFonts w:ascii="Wingdings" w:hAnsi="Wingdings" w:hint="default"/>
      </w:rPr>
    </w:lvl>
    <w:lvl w:ilvl="3" w:tplc="9C3C146C">
      <w:start w:val="1"/>
      <w:numFmt w:val="bullet"/>
      <w:lvlText w:val=""/>
      <w:lvlJc w:val="left"/>
      <w:pPr>
        <w:ind w:left="2988" w:hanging="360"/>
      </w:pPr>
      <w:rPr>
        <w:rFonts w:ascii="Symbol" w:hAnsi="Symbol" w:hint="default"/>
      </w:rPr>
    </w:lvl>
    <w:lvl w:ilvl="4" w:tplc="DB6A23DE">
      <w:start w:val="1"/>
      <w:numFmt w:val="bullet"/>
      <w:lvlText w:val="o"/>
      <w:lvlJc w:val="left"/>
      <w:pPr>
        <w:ind w:left="3708" w:hanging="360"/>
      </w:pPr>
      <w:rPr>
        <w:rFonts w:ascii="Courier New" w:hAnsi="Courier New" w:cs="Courier New" w:hint="default"/>
      </w:rPr>
    </w:lvl>
    <w:lvl w:ilvl="5" w:tplc="70167F36">
      <w:start w:val="1"/>
      <w:numFmt w:val="bullet"/>
      <w:lvlText w:val=""/>
      <w:lvlJc w:val="left"/>
      <w:pPr>
        <w:ind w:left="4428" w:hanging="360"/>
      </w:pPr>
      <w:rPr>
        <w:rFonts w:ascii="Wingdings" w:hAnsi="Wingdings" w:hint="default"/>
      </w:rPr>
    </w:lvl>
    <w:lvl w:ilvl="6" w:tplc="DCFC6C18">
      <w:start w:val="1"/>
      <w:numFmt w:val="bullet"/>
      <w:lvlText w:val=""/>
      <w:lvlJc w:val="left"/>
      <w:pPr>
        <w:ind w:left="5148" w:hanging="360"/>
      </w:pPr>
      <w:rPr>
        <w:rFonts w:ascii="Symbol" w:hAnsi="Symbol" w:hint="default"/>
      </w:rPr>
    </w:lvl>
    <w:lvl w:ilvl="7" w:tplc="44000106">
      <w:start w:val="1"/>
      <w:numFmt w:val="bullet"/>
      <w:lvlText w:val="o"/>
      <w:lvlJc w:val="left"/>
      <w:pPr>
        <w:ind w:left="5868" w:hanging="360"/>
      </w:pPr>
      <w:rPr>
        <w:rFonts w:ascii="Courier New" w:hAnsi="Courier New" w:cs="Courier New" w:hint="default"/>
      </w:rPr>
    </w:lvl>
    <w:lvl w:ilvl="8" w:tplc="7C286EE2">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nhideWhenUsed/>
    <w:pPr>
      <w:tabs>
        <w:tab w:val="center" w:pos="4819"/>
        <w:tab w:val="right" w:pos="9638"/>
      </w:tabs>
      <w:spacing w:after="0" w:line="240" w:lineRule="auto"/>
    </w:pPr>
    <w:rPr>
      <w:rFonts w:eastAsiaTheme="minorEastAsia"/>
      <w:lang w:val="en-US" w:eastAsia="zh-CN"/>
    </w:rPr>
  </w:style>
  <w:style w:type="character" w:customStyle="1" w:styleId="FuzeileZchn">
    <w:name w:val="Fußzeile Zchn"/>
    <w:basedOn w:val="Absatz-Standardschriftart"/>
    <w:link w:val="Fuzeile"/>
    <w:rPr>
      <w:rFonts w:eastAsiaTheme="minorEastAsia"/>
      <w:lang w:val="en-US" w:eastAsia="zh-CN"/>
    </w:rPr>
  </w:style>
  <w:style w:type="paragraph" w:customStyle="1" w:styleId="04FOOTER">
    <w:name w:val="04_FOOTER"/>
    <w:basedOn w:val="Standard"/>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Pr>
      <w:color w:val="0000FF"/>
      <w:u w:val="single"/>
    </w:rPr>
  </w:style>
  <w:style w:type="character" w:customStyle="1" w:styleId="s17">
    <w:name w:val="s17"/>
    <w:basedOn w:val="Absatz-Standardschriftart"/>
  </w:style>
  <w:style w:type="paragraph" w:customStyle="1" w:styleId="01TESTO">
    <w:name w:val="01_TESTO"/>
    <w:basedOn w:val="Standard"/>
    <w:pPr>
      <w:spacing w:after="0" w:line="300" w:lineRule="exact"/>
    </w:pPr>
    <w:rPr>
      <w:rFonts w:ascii="Arial" w:eastAsia="Times New Roman" w:hAnsi="Arial" w:cs="Times New Roman"/>
      <w:color w:val="000000"/>
      <w:sz w:val="19"/>
      <w:szCs w:val="20"/>
      <w:lang w:val="en-US" w:eastAsia="it-IT"/>
    </w:rPr>
  </w:style>
  <w:style w:type="paragraph" w:styleId="HTMLVorformatiert">
    <w:name w:val="HTML Preformatted"/>
    <w:basedOn w:val="Standard"/>
    <w:link w:val="HTMLVorformatiertZchn"/>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VorformatiertZchn">
    <w:name w:val="HTML Vorformatiert Zchn"/>
    <w:basedOn w:val="Absatz-Standardschriftart"/>
    <w:link w:val="HTMLVorformatiert"/>
    <w:uiPriority w:val="99"/>
    <w:semiHidden/>
    <w:rPr>
      <w:rFonts w:ascii="Courier New" w:eastAsia="Times New Roman" w:hAnsi="Courier New" w:cs="Courier New"/>
      <w:sz w:val="20"/>
      <w:szCs w:val="20"/>
      <w:lang w:eastAsia="en-GB"/>
    </w:rPr>
  </w:style>
  <w:style w:type="paragraph" w:styleId="Kommentartext">
    <w:name w:val="annotation text"/>
    <w:basedOn w:val="Standard"/>
    <w:link w:val="KommentartextZchn"/>
    <w:semiHidden/>
    <w:unhideWhenUsed/>
    <w:pPr>
      <w:spacing w:after="0" w:line="300" w:lineRule="exact"/>
    </w:pPr>
    <w:rPr>
      <w:rFonts w:ascii="Arial" w:eastAsia="Times New Roman" w:hAnsi="Arial" w:cs="Times New Roman"/>
      <w:color w:val="000000"/>
      <w:sz w:val="20"/>
      <w:szCs w:val="20"/>
      <w:lang w:val="it-IT" w:eastAsia="it-IT"/>
    </w:rPr>
  </w:style>
  <w:style w:type="character" w:customStyle="1" w:styleId="KommentartextZchn">
    <w:name w:val="Kommentartext Zchn"/>
    <w:basedOn w:val="Absatz-Standardschriftart"/>
    <w:link w:val="Kommentartext"/>
    <w:semiHidden/>
    <w:rPr>
      <w:rFonts w:ascii="Arial" w:eastAsia="Times New Roman" w:hAnsi="Arial" w:cs="Times New Roman"/>
      <w:color w:val="000000"/>
      <w:sz w:val="20"/>
      <w:szCs w:val="20"/>
      <w:lang w:val="it-IT" w:eastAsia="it-IT"/>
    </w:rPr>
  </w:style>
  <w:style w:type="paragraph" w:styleId="Listenabsatz">
    <w:name w:val="List Paragraph"/>
    <w:basedOn w:val="Standard"/>
    <w:uiPriority w:val="34"/>
    <w:qFormat/>
    <w:pPr>
      <w:spacing w:after="0" w:line="240" w:lineRule="auto"/>
      <w:ind w:left="720"/>
      <w:contextualSpacing/>
    </w:pPr>
    <w:rPr>
      <w:rFonts w:ascii="Calibri" w:eastAsia="Calibri" w:hAnsi="Calibri" w:cs="Times New Roman"/>
      <w:lang w:val="en-US"/>
    </w:rPr>
  </w:style>
  <w:style w:type="character" w:styleId="Kommentarzeichen">
    <w:name w:val="annotation reference"/>
    <w:semiHidden/>
    <w:unhideWhenUsed/>
    <w:rPr>
      <w:sz w:val="16"/>
      <w:szCs w:val="16"/>
    </w:rPr>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rPr>
  </w:style>
  <w:style w:type="table" w:styleId="Tabellenraster">
    <w:name w:val="Table Grid"/>
    <w:aliases w:val="PIEDINO"/>
    <w:basedOn w:val="NormaleTabelle"/>
    <w:uiPriority w:val="59"/>
    <w:pPr>
      <w:spacing w:after="0" w:line="160" w:lineRule="exact"/>
    </w:pPr>
    <w:rPr>
      <w:rFonts w:ascii="Arial" w:eastAsia="Times New Roman" w:hAnsi="Arial" w:cs="Times New Roman"/>
      <w:color w:val="000000"/>
      <w:sz w:val="15"/>
      <w:szCs w:val="20"/>
      <w:lang w:val="en-US"/>
    </w:rPr>
    <w:tblPr>
      <w:tblCellMar>
        <w:left w:w="0" w:type="dxa"/>
        <w:right w:w="0" w:type="dxa"/>
      </w:tblCellMar>
    </w:tblPr>
    <w:tcPr>
      <w:vAlign w:val="bottom"/>
    </w:tcPr>
  </w:style>
  <w:style w:type="character" w:customStyle="1" w:styleId="Menzionenonrisolta1">
    <w:name w:val="Menzione non risolta1"/>
    <w:basedOn w:val="Absatz-Standardschriftart"/>
    <w:uiPriority w:val="99"/>
    <w:semiHidden/>
    <w:unhideWhenUsed/>
    <w:rPr>
      <w:color w:val="605E5C"/>
      <w:shd w:val="clear" w:color="auto" w:fill="E1DFDD"/>
    </w:rPr>
  </w:style>
  <w:style w:type="character" w:styleId="Fett">
    <w:name w:val="Strong"/>
    <w:basedOn w:val="Absatz-Standardschriftart"/>
    <w:uiPriority w:val="22"/>
    <w:qFormat/>
    <w:rPr>
      <w:b/>
      <w:bCs/>
    </w:rPr>
  </w:style>
  <w:style w:type="paragraph" w:styleId="StandardWeb">
    <w:name w:val="Normal (Web)"/>
    <w:basedOn w:val="Standard"/>
    <w:uiPriority w:val="99"/>
    <w:unhideWhenUsed/>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character" w:styleId="NichtaufgelsteErwhnung">
    <w:name w:val="Unresolved Mention"/>
    <w:basedOn w:val="Absatz-Standardschriftart"/>
    <w:uiPriority w:val="99"/>
    <w:rPr>
      <w:color w:val="605E5C"/>
      <w:shd w:val="clear" w:color="auto" w:fill="E1DFDD"/>
    </w:rPr>
  </w:style>
  <w:style w:type="paragraph" w:styleId="Kommentarthema">
    <w:name w:val="annotation subject"/>
    <w:basedOn w:val="Kommentartext"/>
    <w:next w:val="Kommentartext"/>
    <w:link w:val="KommentarthemaZchn"/>
    <w:uiPriority w:val="99"/>
    <w:semiHidden/>
    <w:unhideWhenUsed/>
    <w:pPr>
      <w:spacing w:after="160" w:line="240" w:lineRule="auto"/>
    </w:pPr>
    <w:rPr>
      <w:rFonts w:asciiTheme="minorHAnsi" w:eastAsiaTheme="minorHAnsi" w:hAnsiTheme="minorHAnsi" w:cstheme="minorBidi"/>
      <w:b/>
      <w:bCs/>
      <w:color w:val="auto"/>
      <w:lang w:val="en-GB" w:eastAsia="en-US"/>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color w:val="000000"/>
      <w:sz w:val="20"/>
      <w:szCs w:val="20"/>
      <w:lang w:val="it-IT" w:eastAsia="it-IT"/>
    </w:r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berarbeitung">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3085">
      <w:bodyDiv w:val="1"/>
      <w:marLeft w:val="0"/>
      <w:marRight w:val="0"/>
      <w:marTop w:val="0"/>
      <w:marBottom w:val="0"/>
      <w:divBdr>
        <w:top w:val="none" w:sz="0" w:space="0" w:color="auto"/>
        <w:left w:val="none" w:sz="0" w:space="0" w:color="auto"/>
        <w:bottom w:val="none" w:sz="0" w:space="0" w:color="auto"/>
        <w:right w:val="none" w:sz="0" w:space="0" w:color="auto"/>
      </w:divBdr>
    </w:div>
    <w:div w:id="756249866">
      <w:bodyDiv w:val="1"/>
      <w:marLeft w:val="0"/>
      <w:marRight w:val="0"/>
      <w:marTop w:val="0"/>
      <w:marBottom w:val="0"/>
      <w:divBdr>
        <w:top w:val="none" w:sz="0" w:space="0" w:color="auto"/>
        <w:left w:val="none" w:sz="0" w:space="0" w:color="auto"/>
        <w:bottom w:val="none" w:sz="0" w:space="0" w:color="auto"/>
        <w:right w:val="none" w:sz="0" w:space="0" w:color="auto"/>
      </w:divBdr>
    </w:div>
    <w:div w:id="139435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C:\Users\User\Dropbox\Nuria\AppData\Local\Microsoft\Windows\Temporary%20Internet%20Files\Content.Outlook\3POTRISZ\www.cnhindustrial.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Casece.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ecetools.com/press-ki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SharedWithUsers>
  </documentManagement>
</p:properties>
</file>

<file path=customXml/item2.xml><?xml version="1.0" encoding="utf-8"?>
<sisl xmlns:xsi="http://www.w3.org/2001/XMLSchema-instance" xmlns:xsd="http://www.w3.org/2001/XMLSchema" xmlns="http://www.boldonjames.com/2008/01/sie/internal/label" sislVersion="0" policy="18fbfd49-c8e6-4618-a77f-5ef25245836c" origin="userSelected">
  <element uid="1239ecc3-00e0-482b-a8a4-82e46943bfcc" value=""/>
  <element uid="588104ae-2895-48f0-94e0-4417fcf0f7f0" value=""/>
</sisl>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BFEDAF-B00E-4D55-A732-FC6C1BCC2B91}">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A2632819-7CD6-4448-8DDA-B7ADD9B8DEB7}">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F3CA35F1-0DBA-476A-BF94-4C2658A3E447}">
  <ds:schemaRefs>
    <ds:schemaRef ds:uri="http://schemas.microsoft.com/sharepoint/v3/contenttype/forms"/>
  </ds:schemaRefs>
</ds:datastoreItem>
</file>

<file path=customXml/itemProps4.xml><?xml version="1.0" encoding="utf-8"?>
<ds:datastoreItem xmlns:ds="http://schemas.openxmlformats.org/officeDocument/2006/customXml" ds:itemID="{C5E4A0E5-696A-4637-9C6B-F9B373BE2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4687</Characters>
  <Application>Microsoft Office Word</Application>
  <DocSecurity>0</DocSecurity>
  <Lines>39</Lines>
  <Paragraphs>10</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Lutz Holthaus</cp:lastModifiedBy>
  <cp:revision>2</cp:revision>
  <cp:lastPrinted>2021-10-12T13:59:00Z</cp:lastPrinted>
  <dcterms:created xsi:type="dcterms:W3CDTF">2021-11-02T14:55:00Z</dcterms:created>
  <dcterms:modified xsi:type="dcterms:W3CDTF">2021-11-02T14:55:00Z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3" name="bjDocumentLabelXML-0">
    <vt:lpwstr>ames.com/2008/01/sie/internal/label"&gt;&lt;element uid="1239ecc3-00e0-482b-a8a4-82e46943bfcc" value="" /&gt;&lt;element uid="588104ae-2895-48f0-94e0-4417fcf0f7f0" value="" /&gt;&lt;/sisl&gt;</vt:lpwstr>
  </property>
  <property fmtid="{D5CDD505-2E9C-101B-9397-08002B2CF9AE}" pid="4" name="bjDocumentSecurityLabel">
    <vt:lpwstr>CNH Industrial: PUBLIC  Contains no personal data</vt:lpwstr>
  </property>
  <property fmtid="{D5CDD505-2E9C-101B-9397-08002B2CF9AE}" pid="5" name="bjSaver">
    <vt:lpwstr>lvx4lgoFeIzvGVbZsTXmrlBjcJNPB2ZW</vt:lpwstr>
  </property>
  <property fmtid="{D5CDD505-2E9C-101B-9397-08002B2CF9AE}" pid="6" name="CNH-Classification">
    <vt:lpwstr>[PUBLIC - Contains no personal data]</vt:lpwstr>
  </property>
  <property fmtid="{D5CDD505-2E9C-101B-9397-08002B2CF9AE}" pid="7" name="ContentTypeId">
    <vt:lpwstr>0x0101009E84E073D418E04D82F7095C75FFCCF4</vt:lpwstr>
  </property>
  <property fmtid="{D5CDD505-2E9C-101B-9397-08002B2CF9AE}" pid="8" name="docIndexRef">
    <vt:lpwstr>b4f29da0-fefd-4f87-843b-4b3d0b50873d</vt:lpwstr>
  </property>
  <property fmtid="{D5CDD505-2E9C-101B-9397-08002B2CF9AE}" pid="9" name="CNH-LabelledBy:">
    <vt:lpwstr>UH050,02.11.2021 10:03:29,PUBLIC</vt:lpwstr>
  </property>
</Properties>
</file>