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FE313D" w:rsidR="00FE313D" w:rsidP="00FE313D" w:rsidRDefault="00FE313D" w14:paraId="070F184E" w14:textId="77777777">
      <w:pPr>
        <w:rPr>
          <w:rFonts w:ascii="Gill Sans MT" w:hAnsi="Gill Sans MT" w:cs="Arial"/>
          <w:b/>
          <w:bCs/>
          <w:sz w:val="28"/>
          <w:szCs w:val="28"/>
        </w:rPr>
      </w:pPr>
      <w:bookmarkStart w:name="_Hlk527710660" w:id="0"/>
      <w:bookmarkStart w:name="_Hlk510438457" w:id="1"/>
      <w:r w:rsidRPr="00FE313D">
        <w:rPr>
          <w:rFonts w:ascii="Gill Sans MT" w:hAnsi="Gill Sans MT" w:cs="Arial"/>
          <w:b/>
          <w:bCs/>
          <w:sz w:val="28"/>
          <w:szCs w:val="28"/>
        </w:rPr>
        <w:t xml:space="preserve">CASE launches </w:t>
      </w:r>
      <w:proofErr w:type="gramStart"/>
      <w:r w:rsidRPr="00FE313D">
        <w:rPr>
          <w:rFonts w:ascii="Gill Sans MT" w:hAnsi="Gill Sans MT" w:cs="Arial"/>
          <w:b/>
          <w:bCs/>
          <w:sz w:val="28"/>
          <w:szCs w:val="28"/>
        </w:rPr>
        <w:t>world’s</w:t>
      </w:r>
      <w:proofErr w:type="gramEnd"/>
      <w:r w:rsidRPr="00FE313D">
        <w:rPr>
          <w:rFonts w:ascii="Gill Sans MT" w:hAnsi="Gill Sans MT" w:cs="Arial"/>
          <w:b/>
          <w:bCs/>
          <w:sz w:val="28"/>
          <w:szCs w:val="28"/>
        </w:rPr>
        <w:t xml:space="preserve"> first fully electric backhoe loader concept to the North American market</w:t>
      </w:r>
    </w:p>
    <w:p w:rsidRPr="00FE313D" w:rsidR="00FE313D" w:rsidP="00FE313D" w:rsidRDefault="00FE313D" w14:paraId="69240AE0" w14:textId="77777777">
      <w:pPr>
        <w:rPr>
          <w:rFonts w:ascii="Gill Sans MT" w:hAnsi="Gill Sans MT" w:cs="Arial"/>
          <w:b/>
          <w:bCs/>
          <w:sz w:val="28"/>
          <w:szCs w:val="28"/>
        </w:rPr>
      </w:pPr>
    </w:p>
    <w:p w:rsidRPr="00FE313D" w:rsidR="00FE313D" w:rsidP="7568F20F" w:rsidRDefault="00FE313D" w14:paraId="26C22977" w14:textId="3D165B4D">
      <w:pPr>
        <w:tabs>
          <w:tab w:val="left" w:pos="6675"/>
        </w:tabs>
        <w:rPr>
          <w:rFonts w:ascii="Gill Sans MT" w:hAnsi="Gill Sans MT" w:cs="Arial"/>
          <w:i w:val="1"/>
          <w:iCs w:val="1"/>
        </w:rPr>
      </w:pPr>
      <w:r w:rsidRPr="7568F20F" w:rsidR="00FE313D">
        <w:rPr>
          <w:rFonts w:ascii="Gill Sans MT" w:hAnsi="Gill Sans MT" w:cs="Arial"/>
          <w:i w:val="1"/>
          <w:iCs w:val="1"/>
          <w:color w:val="auto"/>
        </w:rPr>
        <w:t xml:space="preserve">Turin </w:t>
      </w:r>
      <w:r w:rsidRPr="7568F20F" w:rsidR="1F8EE02B">
        <w:rPr>
          <w:rFonts w:ascii="Gill Sans MT" w:hAnsi="Gill Sans MT" w:cs="Arial"/>
          <w:i w:val="1"/>
          <w:iCs w:val="1"/>
          <w:color w:val="auto"/>
        </w:rPr>
        <w:t xml:space="preserve">5</w:t>
      </w:r>
      <w:r w:rsidRPr="7568F20F" w:rsidR="00FE313D">
        <w:rPr>
          <w:rFonts w:ascii="Gill Sans MT" w:hAnsi="Gill Sans MT" w:cs="Arial"/>
          <w:i w:val="1"/>
          <w:iCs w:val="1"/>
          <w:color w:val="auto"/>
        </w:rPr>
        <w:t>June</w:t>
      </w:r>
      <w:r w:rsidRPr="7568F20F" w:rsidR="00FE313D">
        <w:rPr>
          <w:rFonts w:ascii="Gill Sans MT" w:hAnsi="Gill Sans MT" w:cs="Arial"/>
          <w:i w:val="1"/>
          <w:iCs w:val="1"/>
          <w:color w:val="auto"/>
        </w:rPr>
        <w:t xml:space="preserve"> 2020</w:t>
      </w:r>
      <w:r w:rsidRPr="00FE313D">
        <w:rPr>
          <w:rFonts w:ascii="Gill Sans MT" w:hAnsi="Gill Sans MT" w:cs="Arial"/>
          <w:i/>
          <w:iCs/>
          <w:szCs w:val="24"/>
        </w:rPr>
        <w:tab/>
      </w:r>
    </w:p>
    <w:p w:rsidRPr="00FE313D" w:rsidR="00FE313D" w:rsidP="00FE313D" w:rsidRDefault="00FE313D" w14:paraId="01BD77E7" w14:textId="77777777">
      <w:pPr>
        <w:rPr>
          <w:rFonts w:ascii="Gill Sans MT" w:hAnsi="Gill Sans MT" w:cs="Arial"/>
          <w:szCs w:val="24"/>
        </w:rPr>
      </w:pPr>
    </w:p>
    <w:p w:rsidRPr="00FE313D" w:rsidR="00FE313D" w:rsidP="00FE313D" w:rsidRDefault="00FE313D" w14:paraId="06019220" w14:textId="1DB95D63">
      <w:pPr>
        <w:rPr>
          <w:rFonts w:ascii="Gill Sans MT" w:hAnsi="Gill Sans MT" w:cs="Arial"/>
          <w:szCs w:val="24"/>
        </w:rPr>
      </w:pPr>
      <w:r w:rsidRPr="00FE313D">
        <w:rPr>
          <w:rFonts w:ascii="Gill Sans MT" w:hAnsi="Gill Sans MT" w:cs="Arial"/>
          <w:szCs w:val="24"/>
        </w:rPr>
        <w:t>At CONEXPO 2020, CASE Construction Equipment launched the construction industry’s first fully electric backhoe loader. The 580 EV (Electric Vehicle) concept, dubbed Project Zeus, offers the same power and performance as a diesel-powered CASE backhoe loader, but with zero emissions and considerably reduced operating costs. Two machines have already been sold to US-based utilities companies, with the concept planned to remain exclusive to the North American market.</w:t>
      </w:r>
    </w:p>
    <w:p w:rsidRPr="00FE313D" w:rsidR="00FE313D" w:rsidP="00FE313D" w:rsidRDefault="00FE313D" w14:paraId="552394F2" w14:textId="6B406339">
      <w:pPr>
        <w:rPr>
          <w:rFonts w:ascii="Gill Sans MT" w:hAnsi="Gill Sans MT" w:cs="Arial"/>
          <w:szCs w:val="24"/>
        </w:rPr>
      </w:pPr>
      <w:r w:rsidRPr="00FE313D">
        <w:rPr>
          <w:rFonts w:ascii="Gill Sans MT" w:hAnsi="Gill Sans MT" w:cs="Arial"/>
          <w:szCs w:val="24"/>
        </w:rPr>
        <w:t xml:space="preserve">“Since designing the first fully factory-integrated backhoe loader in 1957, CASE has remained at the pinnacle of backhoe innovation,” said Egidio </w:t>
      </w:r>
      <w:proofErr w:type="spellStart"/>
      <w:r w:rsidRPr="00FE313D">
        <w:rPr>
          <w:rFonts w:ascii="Gill Sans MT" w:hAnsi="Gill Sans MT" w:cs="Arial"/>
          <w:szCs w:val="24"/>
        </w:rPr>
        <w:t>Galano</w:t>
      </w:r>
      <w:proofErr w:type="spellEnd"/>
      <w:r w:rsidRPr="00FE313D">
        <w:rPr>
          <w:rFonts w:ascii="Gill Sans MT" w:hAnsi="Gill Sans MT" w:cs="Arial"/>
          <w:szCs w:val="24"/>
        </w:rPr>
        <w:t>, Compact Line Product Manager, CASE Construction Equipment Europe. “The 580 EV both continues this evolution and represents a significant step forward for CASE’s wider commitment to a more sustainable future for construction equipment. By producing this concept machine, we are bringing the viability of electrified large compact equipment ever closer to the North American market.”</w:t>
      </w:r>
    </w:p>
    <w:p w:rsidRPr="00FE313D" w:rsidR="00FE313D" w:rsidP="00FE313D" w:rsidRDefault="00FE313D" w14:paraId="5309122D" w14:textId="202B6DC2">
      <w:pPr>
        <w:rPr>
          <w:rFonts w:ascii="Gill Sans MT" w:hAnsi="Gill Sans MT" w:cs="Arial"/>
          <w:szCs w:val="24"/>
        </w:rPr>
      </w:pPr>
      <w:r w:rsidRPr="00FE313D">
        <w:rPr>
          <w:rFonts w:ascii="Gill Sans MT" w:hAnsi="Gill Sans MT" w:cs="Arial"/>
          <w:szCs w:val="24"/>
        </w:rPr>
        <w:t>The 580 EV is powered by a 480-volt, 90-kilowatt hour lithium-ion battery pack. This can be charged through any 220-volt/three-phase connection to give around eight hours of run-time depending on the application. As this battery powers the drivetrain and hydraulic motors separately, breakout force is the same as a diesel-powered machine and overall performance is improved during simultaneous loader and drivetrain operation.</w:t>
      </w:r>
    </w:p>
    <w:p w:rsidRPr="00FE313D" w:rsidR="00FE313D" w:rsidP="00FE313D" w:rsidRDefault="00FE313D" w14:paraId="2DA6CC0A" w14:textId="3D1E5C41">
      <w:pPr>
        <w:rPr>
          <w:rFonts w:ascii="Gill Sans MT" w:hAnsi="Gill Sans MT" w:cs="Arial"/>
          <w:szCs w:val="24"/>
        </w:rPr>
      </w:pPr>
      <w:r w:rsidRPr="00FE313D">
        <w:rPr>
          <w:rFonts w:ascii="Gill Sans MT" w:hAnsi="Gill Sans MT" w:cs="Arial"/>
          <w:szCs w:val="24"/>
        </w:rPr>
        <w:t xml:space="preserve">While also drastically cutting a business’ carbon footprint, it is estimated that that 580 EV could save fleets up to 90% in annual vehicle operating costs. This is due to either reduced or eliminated spend on diesel, engine oil, diesel exhaust fluid and long-term engine maintenance. To further support this, the 580 EV comes with CASE </w:t>
      </w:r>
      <w:proofErr w:type="spellStart"/>
      <w:r w:rsidRPr="00FE313D">
        <w:rPr>
          <w:rFonts w:ascii="Gill Sans MT" w:hAnsi="Gill Sans MT" w:cs="Arial"/>
          <w:szCs w:val="24"/>
        </w:rPr>
        <w:t>SiteWatch</w:t>
      </w:r>
      <w:proofErr w:type="spellEnd"/>
      <w:r w:rsidRPr="00FE313D">
        <w:rPr>
          <w:rFonts w:ascii="Gill Sans MT" w:hAnsi="Gill Sans MT" w:cs="Arial"/>
          <w:szCs w:val="24"/>
        </w:rPr>
        <w:t>™ as standard.</w:t>
      </w:r>
    </w:p>
    <w:p w:rsidRPr="00FE313D" w:rsidR="00FE313D" w:rsidP="00FE313D" w:rsidRDefault="00FE313D" w14:paraId="4003C14E" w14:textId="50C60CF8">
      <w:pPr>
        <w:rPr>
          <w:rFonts w:ascii="Gill Sans MT" w:hAnsi="Gill Sans MT" w:cs="Arial"/>
          <w:szCs w:val="24"/>
        </w:rPr>
      </w:pPr>
      <w:r w:rsidRPr="00FE313D">
        <w:rPr>
          <w:rFonts w:ascii="Gill Sans MT" w:hAnsi="Gill Sans MT" w:cs="Arial"/>
          <w:szCs w:val="24"/>
        </w:rPr>
        <w:t xml:space="preserve">All of this is achieved while retaining the hallmark features operators expect from a CASE backhoe loader, as </w:t>
      </w:r>
      <w:proofErr w:type="spellStart"/>
      <w:r w:rsidRPr="00FE313D">
        <w:rPr>
          <w:rFonts w:ascii="Gill Sans MT" w:hAnsi="Gill Sans MT" w:cs="Arial"/>
          <w:szCs w:val="24"/>
        </w:rPr>
        <w:t>Galano</w:t>
      </w:r>
      <w:proofErr w:type="spellEnd"/>
      <w:r w:rsidRPr="00FE313D">
        <w:rPr>
          <w:rFonts w:ascii="Gill Sans MT" w:hAnsi="Gill Sans MT" w:cs="Arial"/>
          <w:szCs w:val="24"/>
        </w:rPr>
        <w:t xml:space="preserve"> explains: “The 580 EV performs and handles exactly like a traditional CASE backhoe. This is crucial when looking to apply exciting new technologies to any CASE machine, and means operators can experience the same digging, lifting and craning capabilities from a much quieter and emissions free working environment.”</w:t>
      </w:r>
    </w:p>
    <w:p w:rsidRPr="00FE313D" w:rsidR="00FE313D" w:rsidP="00FE313D" w:rsidRDefault="00FE313D" w14:paraId="6B1B9497" w14:textId="77777777">
      <w:pPr>
        <w:rPr>
          <w:rFonts w:ascii="Gill Sans MT" w:hAnsi="Gill Sans MT" w:cs="Arial"/>
          <w:szCs w:val="24"/>
        </w:rPr>
      </w:pPr>
      <w:r w:rsidRPr="00FE313D">
        <w:rPr>
          <w:rFonts w:ascii="Gill Sans MT" w:hAnsi="Gill Sans MT" w:cs="Arial"/>
          <w:szCs w:val="24"/>
        </w:rPr>
        <w:t xml:space="preserve">As with </w:t>
      </w:r>
      <w:proofErr w:type="spellStart"/>
      <w:r w:rsidRPr="00FE313D">
        <w:rPr>
          <w:rFonts w:ascii="Gill Sans MT" w:hAnsi="Gill Sans MT" w:cs="Arial"/>
          <w:szCs w:val="24"/>
        </w:rPr>
        <w:t>ProjectTETRA</w:t>
      </w:r>
      <w:proofErr w:type="spellEnd"/>
      <w:r w:rsidRPr="00FE313D">
        <w:rPr>
          <w:rFonts w:ascii="Gill Sans MT" w:hAnsi="Gill Sans MT" w:cs="Arial"/>
          <w:szCs w:val="24"/>
        </w:rPr>
        <w:t xml:space="preserve">, the methane-powered concept wheel loader launched at bauma 2019, CASE has partnered with Michelin on the tyres for the 580 EV. The Michelin </w:t>
      </w:r>
      <w:proofErr w:type="spellStart"/>
      <w:r w:rsidRPr="00FE313D">
        <w:rPr>
          <w:rFonts w:ascii="Gill Sans MT" w:hAnsi="Gill Sans MT" w:cs="Arial"/>
          <w:szCs w:val="24"/>
        </w:rPr>
        <w:t>CrossGrip</w:t>
      </w:r>
      <w:proofErr w:type="spellEnd"/>
      <w:r w:rsidRPr="00FE313D">
        <w:rPr>
          <w:rFonts w:ascii="Gill Sans MT" w:hAnsi="Gill Sans MT" w:cs="Arial"/>
          <w:szCs w:val="24"/>
        </w:rPr>
        <w:t xml:space="preserve"> tyres used on the concept machine feature a non-directional tread design, resulting in exceptional handling, comfort and high-load capacity on surfaces ranging from asphalt to snow.</w:t>
      </w:r>
    </w:p>
    <w:p w:rsidRPr="00FE313D" w:rsidR="00FE313D" w:rsidP="00FE313D" w:rsidRDefault="00FE313D" w14:paraId="1C205B18" w14:textId="77777777">
      <w:pPr>
        <w:rPr>
          <w:rFonts w:ascii="Gill Sans MT" w:hAnsi="Gill Sans MT" w:cs="Arial"/>
          <w:szCs w:val="24"/>
        </w:rPr>
      </w:pPr>
    </w:p>
    <w:p w:rsidRPr="00FE313D" w:rsidR="00FE313D" w:rsidP="00FE313D" w:rsidRDefault="00FE313D" w14:paraId="20537379" w14:textId="77777777">
      <w:pPr>
        <w:rPr>
          <w:rFonts w:ascii="Gill Sans MT" w:hAnsi="Gill Sans MT" w:cs="Arial"/>
          <w:szCs w:val="24"/>
        </w:rPr>
      </w:pPr>
      <w:r w:rsidRPr="00FE313D">
        <w:rPr>
          <w:rFonts w:ascii="Gill Sans MT" w:hAnsi="Gill Sans MT" w:cs="Arial"/>
          <w:szCs w:val="24"/>
        </w:rPr>
        <w:lastRenderedPageBreak/>
        <w:t>The 580 EV represents CASE’s first official entry into the electric construction equipment market. In partnership with its sister company FPT Industrial, CASE will continue to look for electrification and alternative fuels options that make a sustainable construction equipment future possible.</w:t>
      </w:r>
    </w:p>
    <w:p w:rsidR="00094788" w:rsidP="00094788" w:rsidRDefault="00094788" w14:paraId="7427557B" w14:textId="77777777">
      <w:pPr>
        <w:rPr>
          <w:rFonts w:cs="Arial"/>
          <w:b/>
          <w:szCs w:val="19"/>
        </w:rPr>
      </w:pPr>
    </w:p>
    <w:p w:rsidRPr="005F6730" w:rsidR="00094788" w:rsidP="00094788" w:rsidRDefault="00094788" w14:paraId="44015248" w14:textId="2A0EE833">
      <w:pPr>
        <w:rPr>
          <w:rFonts w:ascii="Gill Sans MT" w:hAnsi="Gill Sans MT" w:cs="Arial"/>
          <w:b/>
          <w:szCs w:val="19"/>
        </w:rPr>
      </w:pPr>
      <w:bookmarkStart w:name="_Hlk527712510" w:id="2"/>
      <w:r w:rsidRPr="005F6730">
        <w:rPr>
          <w:rFonts w:ascii="Gill Sans MT" w:hAnsi="Gill Sans MT" w:cs="Arial"/>
          <w:b/>
          <w:sz w:val="19"/>
          <w:szCs w:val="19"/>
        </w:rPr>
        <w:t>Notes to editors</w:t>
      </w:r>
      <w:r w:rsidRPr="005F6730" w:rsidR="00A27749">
        <w:rPr>
          <w:rFonts w:ascii="Gill Sans MT" w:hAnsi="Gill Sans MT" w:cs="Arial"/>
          <w:b/>
          <w:sz w:val="19"/>
          <w:szCs w:val="19"/>
        </w:rPr>
        <w:t>:</w:t>
      </w:r>
      <w:bookmarkEnd w:id="0"/>
    </w:p>
    <w:bookmarkEnd w:id="2"/>
    <w:p w:rsidRPr="005F6730" w:rsidR="00094788" w:rsidP="00094788" w:rsidRDefault="00094788" w14:paraId="01BE7D82" w14:textId="18EEBE94">
      <w:pPr>
        <w:pStyle w:val="HTMLPreformatted"/>
        <w:shd w:val="clear" w:color="auto" w:fill="FFFFFF"/>
        <w:rPr>
          <w:rFonts w:ascii="Gill Sans MT" w:hAnsi="Gill Sans MT" w:cs="Arial"/>
          <w:color w:val="212121"/>
          <w:sz w:val="19"/>
          <w:szCs w:val="19"/>
          <w:lang w:val="en"/>
        </w:rPr>
      </w:pPr>
      <w:r w:rsidRPr="005F6730">
        <w:rPr>
          <w:rFonts w:ascii="Gill Sans MT" w:hAnsi="Gill Sans MT" w:cs="Arial"/>
          <w:sz w:val="19"/>
          <w:szCs w:val="19"/>
        </w:rPr>
        <w:t xml:space="preserve">Please visit our website to download </w:t>
      </w:r>
      <w:r w:rsidRPr="005F6730">
        <w:rPr>
          <w:rFonts w:ascii="Gill Sans MT" w:hAnsi="Gill Sans MT" w:cs="Arial"/>
          <w:color w:val="212121"/>
          <w:sz w:val="19"/>
          <w:szCs w:val="19"/>
          <w:lang w:val="en"/>
        </w:rPr>
        <w:t xml:space="preserve">high-resolution text, video and image files (JPG 300 DPI, CMYK) and other CASE press releases: </w:t>
      </w:r>
      <w:hyperlink w:history="1" r:id="rId7">
        <w:r w:rsidRPr="005F6730">
          <w:rPr>
            <w:rStyle w:val="Hyperlink"/>
            <w:rFonts w:ascii="Gill Sans MT" w:hAnsi="Gill Sans MT" w:cs="Arial"/>
            <w:sz w:val="19"/>
            <w:szCs w:val="19"/>
            <w:lang w:val="en"/>
          </w:rPr>
          <w:t>www.casecetools.com/press-kit</w:t>
        </w:r>
      </w:hyperlink>
      <w:r w:rsidRPr="005F6730">
        <w:rPr>
          <w:rFonts w:ascii="Gill Sans MT" w:hAnsi="Gill Sans MT" w:cs="Arial"/>
          <w:color w:val="212121"/>
          <w:sz w:val="19"/>
          <w:szCs w:val="19"/>
          <w:lang w:val="en"/>
        </w:rPr>
        <w:t xml:space="preserve"> </w:t>
      </w:r>
    </w:p>
    <w:p w:rsidRPr="005F6730" w:rsidR="00A27749" w:rsidP="00094788" w:rsidRDefault="00A27749" w14:paraId="1A11E346" w14:textId="267C9511">
      <w:pPr>
        <w:pStyle w:val="HTMLPreformatted"/>
        <w:shd w:val="clear" w:color="auto" w:fill="FFFFFF"/>
        <w:rPr>
          <w:rFonts w:ascii="Gill Sans MT" w:hAnsi="Gill Sans MT" w:cs="Arial"/>
          <w:color w:val="212121"/>
          <w:sz w:val="19"/>
          <w:szCs w:val="19"/>
        </w:rPr>
      </w:pPr>
    </w:p>
    <w:p w:rsidRPr="005F6730" w:rsidR="00A27749" w:rsidP="00094788" w:rsidRDefault="00A27749" w14:paraId="146F73D6" w14:textId="7F7E0ACB">
      <w:pPr>
        <w:pStyle w:val="HTMLPreformatted"/>
        <w:shd w:val="clear" w:color="auto" w:fill="FFFFFF"/>
        <w:rPr>
          <w:rFonts w:ascii="Gill Sans MT" w:hAnsi="Gill Sans MT" w:cs="Arial"/>
          <w:color w:val="212121"/>
          <w:sz w:val="19"/>
          <w:szCs w:val="19"/>
        </w:rPr>
      </w:pPr>
      <w:bookmarkStart w:name="_Hlk527712544" w:id="3"/>
      <w:r w:rsidRPr="005F6730">
        <w:rPr>
          <w:rFonts w:ascii="Gill Sans MT" w:hAnsi="Gill Sans MT" w:cs="Arial"/>
          <w:color w:val="212121"/>
          <w:sz w:val="19"/>
          <w:szCs w:val="19"/>
        </w:rPr>
        <w:t>Follow CASE on:</w:t>
      </w:r>
    </w:p>
    <w:p w:rsidRPr="005F6730" w:rsidR="00A27749" w:rsidP="00094788" w:rsidRDefault="00A27749" w14:paraId="42993AFB" w14:textId="77777777">
      <w:pPr>
        <w:pStyle w:val="HTMLPreformatted"/>
        <w:shd w:val="clear" w:color="auto" w:fill="FFFFFF"/>
        <w:rPr>
          <w:rFonts w:ascii="Gill Sans MT" w:hAnsi="Gill Sans MT" w:cs="Arial"/>
          <w:color w:val="212121"/>
          <w:sz w:val="19"/>
          <w:szCs w:val="19"/>
        </w:rPr>
      </w:pPr>
    </w:p>
    <w:p w:rsidRPr="005F6730" w:rsidR="00094788" w:rsidP="00A27749" w:rsidRDefault="00A27749" w14:paraId="03E1A68B" w14:textId="16DEE183">
      <w:pPr>
        <w:rPr>
          <w:rFonts w:ascii="Gill Sans MT" w:hAnsi="Gill Sans MT" w:eastAsia="Calibri"/>
        </w:rPr>
      </w:pPr>
      <w:bookmarkStart w:name="_Hlk527712055" w:id="4"/>
      <w:r w:rsidR="00A27749">
        <w:drawing>
          <wp:inline wp14:editId="7568F20F" wp14:anchorId="2E0DA63E">
            <wp:extent cx="196850" cy="196850"/>
            <wp:effectExtent l="0" t="0" r="0" b="0"/>
            <wp:docPr id="529457195" name="Picture 11" descr="cid:image001.gif@01D123A8.097F9890" title="">
              <a:hlinkClick r:id="R77b4f317909d4410"/>
            </wp:docPr>
            <wp:cNvGraphicFramePr>
              <a:graphicFrameLocks noChangeAspect="1"/>
            </wp:cNvGraphicFramePr>
            <a:graphic>
              <a:graphicData uri="http://schemas.openxmlformats.org/drawingml/2006/picture">
                <pic:pic>
                  <pic:nvPicPr>
                    <pic:cNvPr id="0" name="Picture 11"/>
                    <pic:cNvPicPr/>
                  </pic:nvPicPr>
                  <pic:blipFill>
                    <a:blip r:embed="Rd27d88c31e6b47f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7568F20F" w:rsidR="00A27749">
        <w:rPr>
          <w:rFonts w:ascii="Gill Sans MT" w:hAnsi="Gill Sans MT" w:eastAsia="Calibri"/>
          <w:lang w:eastAsia="it-IT"/>
        </w:rPr>
        <w:t xml:space="preserve">   </w:t>
      </w:r>
      <w:r w:rsidR="00A27749">
        <w:drawing>
          <wp:inline wp14:editId="1F693467" wp14:anchorId="5172AF14">
            <wp:extent cx="196850" cy="196850"/>
            <wp:effectExtent l="0" t="0" r="0" b="0"/>
            <wp:docPr id="1213175560" name="Picture 12" descr="cid:image002.gif@01D123A8.097F9890" title="">
              <a:hlinkClick r:id="R5f84ab1535ac4c70"/>
            </wp:docPr>
            <wp:cNvGraphicFramePr>
              <a:graphicFrameLocks noChangeAspect="1"/>
            </wp:cNvGraphicFramePr>
            <a:graphic>
              <a:graphicData uri="http://schemas.openxmlformats.org/drawingml/2006/picture">
                <pic:pic>
                  <pic:nvPicPr>
                    <pic:cNvPr id="0" name="Picture 12"/>
                    <pic:cNvPicPr/>
                  </pic:nvPicPr>
                  <pic:blipFill>
                    <a:blip r:embed="R871d7cdb7837407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7568F20F" w:rsidR="00A27749">
        <w:rPr>
          <w:rFonts w:ascii="Gill Sans MT" w:hAnsi="Gill Sans MT" w:eastAsia="Calibri"/>
          <w:lang w:eastAsia="it-IT"/>
        </w:rPr>
        <w:t xml:space="preserve"> </w:t>
      </w:r>
      <w:r w:rsidRPr="7568F20F" w:rsidR="00A27749">
        <w:rPr>
          <w:rFonts w:ascii="Gill Sans MT" w:hAnsi="Gill Sans MT" w:eastAsia="Calibri"/>
        </w:rPr>
        <w:t xml:space="preserve">  </w:t>
      </w:r>
      <w:r w:rsidR="00A27749">
        <w:drawing>
          <wp:inline wp14:editId="0A2425C1" wp14:anchorId="794159BC">
            <wp:extent cx="196850" cy="196850"/>
            <wp:effectExtent l="0" t="0" r="0" b="0"/>
            <wp:docPr id="1150578763" name="Picture 13" descr="cid:image003.gif@01D123A8.097F9890" title="">
              <a:hlinkClick r:id="R7ea2c0800d59488b"/>
            </wp:docPr>
            <wp:cNvGraphicFramePr>
              <a:graphicFrameLocks noChangeAspect="1"/>
            </wp:cNvGraphicFramePr>
            <a:graphic>
              <a:graphicData uri="http://schemas.openxmlformats.org/drawingml/2006/picture">
                <pic:pic>
                  <pic:nvPicPr>
                    <pic:cNvPr id="0" name="Picture 13"/>
                    <pic:cNvPicPr/>
                  </pic:nvPicPr>
                  <pic:blipFill>
                    <a:blip r:embed="Rdf35efa8b8ff421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r w:rsidRPr="7568F20F" w:rsidR="00A27749">
        <w:rPr>
          <w:rFonts w:ascii="Gill Sans MT" w:hAnsi="Gill Sans MT" w:eastAsia="Calibri"/>
        </w:rPr>
        <w:t xml:space="preserve">   </w:t>
      </w:r>
      <w:r w:rsidR="00A27749">
        <w:drawing>
          <wp:inline wp14:editId="72A095EA" wp14:anchorId="70CBCFCB">
            <wp:extent cx="196850" cy="196850"/>
            <wp:effectExtent l="0" t="0" r="0" b="0"/>
            <wp:docPr id="1634709377" name="Picture 14" descr="cid:image004.gif@01D123A8.097F9890" title="">
              <a:hlinkClick r:id="Rae1f9159949a4df1"/>
            </wp:docPr>
            <wp:cNvGraphicFramePr>
              <a:graphicFrameLocks noChangeAspect="1"/>
            </wp:cNvGraphicFramePr>
            <a:graphic>
              <a:graphicData uri="http://schemas.openxmlformats.org/drawingml/2006/picture">
                <pic:pic>
                  <pic:nvPicPr>
                    <pic:cNvPr id="0" name="Picture 14"/>
                    <pic:cNvPicPr/>
                  </pic:nvPicPr>
                  <pic:blipFill>
                    <a:blip r:embed="Rf3f1d75d39ad4b5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96850" cy="196850"/>
                    </a:xfrm>
                    <a:prstGeom prst="rect">
                      <a:avLst/>
                    </a:prstGeom>
                  </pic:spPr>
                </pic:pic>
              </a:graphicData>
            </a:graphic>
          </wp:inline>
        </w:drawing>
      </w:r>
    </w:p>
    <w:bookmarkEnd w:id="1"/>
    <w:bookmarkEnd w:id="3"/>
    <w:bookmarkEnd w:id="4"/>
    <w:p w:rsidRPr="005F6730" w:rsidR="00094788" w:rsidP="00094788" w:rsidRDefault="00094788" w14:paraId="6CB68A8B" w14:textId="0EAAD763">
      <w:pPr>
        <w:jc w:val="both"/>
        <w:rPr>
          <w:rFonts w:ascii="Gill Sans MT" w:hAnsi="Gill Sans MT" w:cs="Arial"/>
          <w:i/>
          <w:sz w:val="16"/>
          <w:szCs w:val="16"/>
        </w:rPr>
      </w:pPr>
      <w:r w:rsidRPr="005F6730">
        <w:rPr>
          <w:rFonts w:ascii="Gill Sans MT" w:hAnsi="Gill Sans MT" w:cs="Arial"/>
          <w:i/>
          <w:sz w:val="16"/>
          <w:szCs w:val="16"/>
        </w:rPr>
        <w:t xml:space="preserve">CASE Construction Equipment sells and supports a full line of construction equipment around the world, including the No. 1 loader/backhoes, excavators, motor graders, wheel loaders, vibratory compaction rollers, crawler dozers, skid steers, compact track loaders and rough-terrain forklifts. Through CASE dealers, customers have access to a true professional partner with world-class equipment and aftermarket support, industry-leading warranties and flexible financing. More information is available at </w:t>
      </w:r>
      <w:hyperlink w:history="1" r:id="rId20">
        <w:r w:rsidRPr="005F6730">
          <w:rPr>
            <w:rStyle w:val="Hyperlink"/>
            <w:rFonts w:ascii="Gill Sans MT" w:hAnsi="Gill Sans MT" w:cs="Arial"/>
            <w:i/>
            <w:sz w:val="16"/>
            <w:szCs w:val="16"/>
          </w:rPr>
          <w:t>www.CASEce.com</w:t>
        </w:r>
      </w:hyperlink>
      <w:r w:rsidRPr="005F6730">
        <w:rPr>
          <w:rFonts w:ascii="Gill Sans MT" w:hAnsi="Gill Sans MT" w:cs="Arial"/>
          <w:i/>
          <w:sz w:val="16"/>
          <w:szCs w:val="16"/>
        </w:rPr>
        <w:t>.</w:t>
      </w:r>
    </w:p>
    <w:p w:rsidRPr="005F6730" w:rsidR="00094788" w:rsidP="003330ED" w:rsidRDefault="00094788" w14:paraId="179DAE80" w14:textId="50134780">
      <w:pPr>
        <w:jc w:val="both"/>
        <w:rPr>
          <w:rFonts w:ascii="Gill Sans MT" w:hAnsi="Gill Sans MT" w:cs="Arial"/>
          <w:i/>
          <w:sz w:val="16"/>
          <w:szCs w:val="16"/>
        </w:rPr>
      </w:pPr>
      <w:r w:rsidRPr="005F6730">
        <w:rPr>
          <w:rFonts w:ascii="Gill Sans MT" w:hAnsi="Gill Sans MT" w:cs="Arial"/>
          <w:i/>
          <w:sz w:val="16"/>
          <w:szCs w:val="16"/>
        </w:rPr>
        <w:t xml:space="preserve">CASE Construction Equipment is a brand of CNH Industrial N.V., a World leader in Capital Goods listed on the New York Stock Exchange (NYSE: CNHI) and on the Mercato Telematico Azionario of the Borsa Italiana (MI: CNHI). More information about CNH Industrial can be found online at </w:t>
      </w:r>
      <w:hyperlink w:history="1" r:id="rId21">
        <w:r w:rsidRPr="005F6730">
          <w:rPr>
            <w:rStyle w:val="Hyperlink"/>
            <w:rFonts w:ascii="Gill Sans MT" w:hAnsi="Gill Sans MT" w:cs="Arial"/>
            <w:i/>
            <w:sz w:val="16"/>
            <w:szCs w:val="16"/>
          </w:rPr>
          <w:t>www.cnhindustrial.com</w:t>
        </w:r>
      </w:hyperlink>
      <w:r w:rsidRPr="005F6730">
        <w:rPr>
          <w:rStyle w:val="Hyperlink"/>
          <w:rFonts w:ascii="Gill Sans MT" w:hAnsi="Gill Sans MT" w:cs="Arial"/>
        </w:rPr>
        <w:t>.</w:t>
      </w:r>
    </w:p>
    <w:p w:rsidRPr="005F6730" w:rsidR="00094788" w:rsidP="009666D1" w:rsidRDefault="00094788" w14:paraId="173C1655" w14:textId="7601A114">
      <w:pPr>
        <w:pStyle w:val="01TESTO"/>
        <w:rPr>
          <w:rFonts w:ascii="Gill Sans MT" w:hAnsi="Gill Sans MT" w:cs="Arial"/>
          <w:b/>
          <w:szCs w:val="19"/>
        </w:rPr>
      </w:pPr>
      <w:r w:rsidRPr="005F6730">
        <w:rPr>
          <w:rFonts w:ascii="Gill Sans MT" w:hAnsi="Gill Sans MT" w:cs="Arial"/>
          <w:b/>
          <w:szCs w:val="19"/>
        </w:rPr>
        <w:t>For more information contact:</w:t>
      </w:r>
    </w:p>
    <w:p w:rsidRPr="005F6730" w:rsidR="00094788" w:rsidP="009666D1" w:rsidRDefault="003330ED" w14:paraId="77316656" w14:textId="7BB9BD80">
      <w:pPr>
        <w:spacing w:after="0" w:line="240" w:lineRule="auto"/>
        <w:rPr>
          <w:rFonts w:ascii="Gill Sans MT" w:hAnsi="Gill Sans MT" w:cs="Arial"/>
          <w:bCs/>
          <w:sz w:val="19"/>
          <w:szCs w:val="19"/>
          <w:lang w:val="de-DE" w:eastAsia="es-ES"/>
        </w:rPr>
      </w:pPr>
      <w:r w:rsidRPr="005F6730">
        <w:rPr>
          <w:rFonts w:ascii="Gill Sans MT" w:hAnsi="Gill Sans MT" w:cs="Arial"/>
          <w:sz w:val="19"/>
          <w:szCs w:val="19"/>
          <w:lang w:val="de-DE" w:eastAsia="es-ES"/>
        </w:rPr>
        <w:t>Brad Kilner</w:t>
      </w:r>
      <w:r w:rsidRPr="005F6730" w:rsidR="00094788">
        <w:rPr>
          <w:rFonts w:ascii="Gill Sans MT" w:hAnsi="Gill Sans MT" w:cs="Arial"/>
          <w:sz w:val="19"/>
          <w:szCs w:val="19"/>
          <w:lang w:val="de-DE" w:eastAsia="es-ES"/>
        </w:rPr>
        <w:t xml:space="preserve"> – Copestone on behalf of CASE Construction Equipment</w:t>
      </w:r>
    </w:p>
    <w:p w:rsidRPr="005F6730" w:rsidR="003330ED" w:rsidP="009666D1" w:rsidRDefault="003330ED" w14:paraId="5C0F3FE6" w14:textId="77777777">
      <w:pPr>
        <w:spacing w:after="0" w:line="240" w:lineRule="auto"/>
        <w:rPr>
          <w:rFonts w:ascii="Gill Sans MT" w:hAnsi="Gill Sans MT" w:cs="Arial"/>
          <w:sz w:val="19"/>
          <w:szCs w:val="19"/>
          <w:lang w:eastAsia="es-ES"/>
        </w:rPr>
      </w:pPr>
      <w:r w:rsidRPr="005F6730">
        <w:rPr>
          <w:rFonts w:ascii="Gill Sans MT" w:hAnsi="Gill Sans MT" w:cs="Arial"/>
          <w:sz w:val="19"/>
          <w:szCs w:val="19"/>
          <w:lang w:eastAsia="es-ES"/>
        </w:rPr>
        <w:t xml:space="preserve">+44 (0) 7375 558517 </w:t>
      </w:r>
    </w:p>
    <w:p w:rsidRPr="005F6730" w:rsidR="00094788" w:rsidP="009666D1" w:rsidRDefault="00CD2352" w14:paraId="6F941F18" w14:textId="59383327">
      <w:pPr>
        <w:spacing w:after="0" w:line="240" w:lineRule="auto"/>
        <w:rPr>
          <w:rFonts w:ascii="Gill Sans MT" w:hAnsi="Gill Sans MT" w:cs="Arial"/>
          <w:sz w:val="19"/>
          <w:szCs w:val="19"/>
          <w:lang w:val="de-DE"/>
        </w:rPr>
      </w:pPr>
      <w:hyperlink w:history="1" r:id="rId22">
        <w:r w:rsidRPr="005F6730" w:rsidR="003330ED">
          <w:rPr>
            <w:rStyle w:val="Hyperlink"/>
            <w:rFonts w:ascii="Gill Sans MT" w:hAnsi="Gill Sans MT" w:cs="Arial"/>
            <w:sz w:val="19"/>
            <w:szCs w:val="19"/>
            <w:lang w:val="de-DE" w:eastAsia="es-ES"/>
          </w:rPr>
          <w:t>brad@copestone.uk.com</w:t>
        </w:r>
      </w:hyperlink>
    </w:p>
    <w:p w:rsidRPr="00C7009F" w:rsidR="00094788" w:rsidP="00094788" w:rsidRDefault="00094788" w14:paraId="2079D58E" w14:textId="77777777">
      <w:pPr>
        <w:pStyle w:val="01TESTO"/>
        <w:rPr>
          <w:b/>
          <w:szCs w:val="19"/>
        </w:rPr>
      </w:pPr>
    </w:p>
    <w:p w:rsidR="00094788" w:rsidP="00094788" w:rsidRDefault="00094788" w14:paraId="7D02698C" w14:textId="77777777">
      <w:pPr>
        <w:widowControl w:val="0"/>
        <w:autoSpaceDE w:val="0"/>
        <w:autoSpaceDN w:val="0"/>
        <w:adjustRightInd w:val="0"/>
        <w:spacing w:line="360" w:lineRule="auto"/>
      </w:pPr>
    </w:p>
    <w:p w:rsidR="003452F5" w:rsidRDefault="003452F5" w14:paraId="62A9E366" w14:textId="77777777"/>
    <w:sectPr w:rsidR="003452F5" w:rsidSect="006941EF">
      <w:headerReference w:type="default" r:id="rId23"/>
      <w:footerReference w:type="default" r:id="rId24"/>
      <w:headerReference w:type="first" r:id="rId25"/>
      <w:footerReference w:type="first" r:id="rId26"/>
      <w:pgSz w:w="12240" w:h="15840" w:orient="portrait"/>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D2352" w:rsidRDefault="00CD2352" w14:paraId="4D436237" w14:textId="77777777">
      <w:pPr>
        <w:spacing w:after="0" w:line="240" w:lineRule="auto"/>
      </w:pPr>
      <w:r>
        <w:separator/>
      </w:r>
    </w:p>
  </w:endnote>
  <w:endnote w:type="continuationSeparator" w:id="0">
    <w:p w:rsidR="00CD2352" w:rsidRDefault="00CD2352" w14:paraId="18B5ABA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11491" w:rsidP="00842584" w:rsidRDefault="00CD2352" w14:paraId="1203AC28" w14:textId="77777777">
    <w:pPr>
      <w:pStyle w:val="Footer"/>
    </w:pPr>
  </w:p>
  <w:p w:rsidR="00C11491" w:rsidP="00842584" w:rsidRDefault="00CD2352" w14:paraId="31F029F6" w14:textId="77777777">
    <w:pPr>
      <w:pStyle w:val="Footer"/>
    </w:pPr>
  </w:p>
  <w:p w:rsidR="00C11491" w:rsidP="00842584" w:rsidRDefault="00CD2352" w14:paraId="65869B61" w14:textId="77777777">
    <w:pPr>
      <w:pStyle w:val="Footer"/>
    </w:pPr>
  </w:p>
  <w:p w:rsidR="00C11491" w:rsidP="00842584" w:rsidRDefault="00CD2352" w14:paraId="7803D0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7201A" w:rsidR="00C11491" w:rsidP="00842584" w:rsidRDefault="00CD2352" w14:paraId="7D777985" w14:textId="77777777">
    <w:pPr>
      <w:pStyle w:val="04FOOTER"/>
      <w:framePr w:w="182" w:h="177" w:wrap="around" w:hAnchor="page" w:vAnchor="page" w:x="442" w:y="16385" w:h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D2352" w:rsidRDefault="00CD2352" w14:paraId="2987A813" w14:textId="77777777">
      <w:pPr>
        <w:spacing w:after="0" w:line="240" w:lineRule="auto"/>
      </w:pPr>
      <w:r>
        <w:separator/>
      </w:r>
    </w:p>
  </w:footnote>
  <w:footnote w:type="continuationSeparator" w:id="0">
    <w:p w:rsidR="00CD2352" w:rsidRDefault="00CD2352" w14:paraId="598FB9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C11491" w:rsidP="00842584" w:rsidRDefault="007A2771" w14:paraId="60980C34" w14:textId="77777777">
    <w:r>
      <w:rPr>
        <w:noProof/>
        <w:lang w:val="it-IT" w:eastAsia="zh-CN"/>
      </w:rPr>
      <w:drawing>
        <wp:anchor distT="0" distB="0" distL="114300" distR="114300" simplePos="0" relativeHeight="251663360"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1FED6831">
      <w:rPr/>
      <w:t/>
    </w:r>
    <w:r w:rsidR="7568F20F">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Pr="00C7201A" w:rsidR="00C11491" w14:paraId="0801C9B0" w14:textId="77777777">
      <w:trPr>
        <w:trHeight w:val="735"/>
      </w:trPr>
      <w:tc>
        <w:tcPr>
          <w:tcW w:w="2614" w:type="dxa"/>
          <w:shd w:val="clear" w:color="auto" w:fill="auto"/>
          <w:vAlign w:val="bottom"/>
        </w:tcPr>
        <w:p w:rsidRPr="00293E17" w:rsidR="00C11491" w:rsidP="00842584" w:rsidRDefault="00CD2352" w14:paraId="133F3E8F" w14:textId="77777777">
          <w:pPr>
            <w:pStyle w:val="04FOOTER"/>
            <w:ind w:right="-101"/>
          </w:pPr>
        </w:p>
      </w:tc>
      <w:tc>
        <w:tcPr>
          <w:tcW w:w="2835" w:type="dxa"/>
        </w:tcPr>
        <w:p w:rsidR="00C11491" w:rsidP="00842584" w:rsidRDefault="00CD2352" w14:paraId="7C4FA7A5" w14:textId="77777777">
          <w:pPr>
            <w:pStyle w:val="04FOOTER"/>
            <w:ind w:right="-101"/>
          </w:pPr>
        </w:p>
        <w:p w:rsidR="00C11491" w:rsidP="00842584" w:rsidRDefault="00CD2352" w14:paraId="16DF71E2" w14:textId="77777777">
          <w:pPr>
            <w:pStyle w:val="04FOOTER"/>
            <w:ind w:right="-101"/>
          </w:pPr>
        </w:p>
        <w:p w:rsidR="00C11491" w:rsidP="00842584" w:rsidRDefault="00CD2352" w14:paraId="1520B835" w14:textId="77777777">
          <w:pPr>
            <w:pStyle w:val="04FOOTER"/>
            <w:ind w:right="-101"/>
          </w:pPr>
        </w:p>
        <w:p w:rsidRPr="00293E17" w:rsidR="00C11491" w:rsidP="00842584" w:rsidRDefault="00CD2352" w14:paraId="23477936" w14:textId="77777777">
          <w:pPr>
            <w:pStyle w:val="04FOOTER"/>
            <w:ind w:right="-101"/>
          </w:pPr>
        </w:p>
      </w:tc>
    </w:tr>
  </w:tbl>
  <w:p w:rsidRPr="002C48D5" w:rsidR="00C11491" w:rsidP="00842584" w:rsidRDefault="007A2771" w14:paraId="47A319D6" w14:textId="77777777">
    <w:pPr>
      <w:rPr>
        <w:rFonts w:ascii="Times New Roman" w:hAnsi="Times New Roman"/>
        <w:snapToGrid w:val="0"/>
        <w:vanish/>
        <w:w w:val="0"/>
        <w:sz w:val="0"/>
        <w:szCs w:val="0"/>
        <w:u w:color="000000"/>
        <w:bdr w:val="none" w:color="000000" w:sz="0" w:space="0"/>
        <w:shd w:val="clear" w:color="000000" w:fill="000000"/>
        <w:lang w:val="x-none" w:eastAsia="x-none" w:bidi="x-none"/>
      </w:rPr>
    </w:pPr>
    <w:r>
      <w:rPr>
        <w:noProof/>
        <w:lang w:val="it-IT" w:eastAsia="zh-CN"/>
      </w:rPr>
      <w:drawing>
        <wp:anchor distT="0" distB="0" distL="114300" distR="114300" simplePos="0" relativeHeight="251662336"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w:drawing>
        <wp:anchor distT="0" distB="0" distL="114300" distR="114300" simplePos="0" relativeHeight="25166438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r w:rsidR="1FED6831">
      <w:rPr/>
      <w:t/>
    </w:r>
    <w:r w:rsidR="7568F20F">
      <w:rPr/>
      <w:t/>
    </w:r>
  </w:p>
  <w:p w:rsidR="00C11491" w:rsidP="00842584" w:rsidRDefault="007A2771" w14:paraId="572309B9" w14:textId="77777777">
    <w:r>
      <w:rPr>
        <w:noProof/>
        <w:lang w:val="it-IT" w:eastAsia="zh-CN"/>
      </w:rPr>
      <w:drawing>
        <wp:anchor distT="0" distB="0" distL="114300" distR="114300" simplePos="0" relativeHeight="251661312"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mc:AlternateContent>
        <mc:Choice Requires="wps">
          <w:drawing>
            <wp:anchor distT="4294967294" distB="4294967294" distL="114300" distR="114300" simplePos="0" relativeHeight="251660288"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spid="_x0000_s1026" strokeweight=".11pt" from="-153.1pt,264.5pt" to="-99.1pt,264.5pt" w14:anchorId="404F9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">
              <w10:wrap anchory="page"/>
            </v:line>
          </w:pict>
        </mc:Fallback>
      </mc:AlternateContent>
    </w:r>
    <w:r>
      <w:rPr>
        <w:noProof/>
        <w:lang w:val="it-IT" w:eastAsia="zh-CN"/>
      </w:rPr>
      <mc:AlternateContent>
        <mc:Choice Requires="wps">
          <w:drawing>
            <wp:anchor distT="4294967294" distB="4294967294" distL="114300" distR="114300" simplePos="0" relativeHeight="251659264" behindDoc="0" locked="0" layoutInCell="1" allowOverlap="1" wp14:anchorId="10964B71" wp14:editId="70D8E831">
              <wp:simplePos x="0" y="0"/>
              <wp:positionH relativeFrom="column">
                <wp:posOffset>-635</wp:posOffset>
              </wp:positionH>
              <wp:positionV relativeFrom="paragraph">
                <wp:posOffset>455294</wp:posOffset>
              </wp:positionV>
              <wp:extent cx="7086600" cy="0"/>
              <wp:effectExtent l="0" t="0" r="25400" b="2540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weight=".03739mm" from="-.05pt,35.85pt" to="557.95pt,35.85pt" w14:anchorId="03A1D9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"/>
          </w:pict>
        </mc:Fallback>
      </mc:AlternateContent>
    </w:r>
    <w:r w:rsidR="1FED6831">
      <w:rPr/>
      <w:t/>
    </w:r>
    <w:r w:rsidR="7568F20F">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CD38F3"/>
    <w:multiLevelType w:val="hybridMultilevel"/>
    <w:tmpl w:val="209681F2"/>
    <w:lvl w:ilvl="0" w:tplc="04090001">
      <w:start w:val="1"/>
      <w:numFmt w:val="bullet"/>
      <w:lvlText w:val=""/>
      <w:lvlJc w:val="left"/>
      <w:pPr>
        <w:ind w:left="828" w:hanging="360"/>
      </w:pPr>
      <w:rPr>
        <w:rFonts w:hint="default" w:ascii="Symbol" w:hAnsi="Symbol"/>
      </w:rPr>
    </w:lvl>
    <w:lvl w:ilvl="1" w:tplc="04090003">
      <w:start w:val="1"/>
      <w:numFmt w:val="bullet"/>
      <w:lvlText w:val="o"/>
      <w:lvlJc w:val="left"/>
      <w:pPr>
        <w:ind w:left="1548" w:hanging="360"/>
      </w:pPr>
      <w:rPr>
        <w:rFonts w:hint="default" w:ascii="Courier New" w:hAnsi="Courier New" w:cs="Courier New"/>
      </w:rPr>
    </w:lvl>
    <w:lvl w:ilvl="2" w:tplc="04090005">
      <w:start w:val="1"/>
      <w:numFmt w:val="bullet"/>
      <w:lvlText w:val=""/>
      <w:lvlJc w:val="left"/>
      <w:pPr>
        <w:ind w:left="2268" w:hanging="360"/>
      </w:pPr>
      <w:rPr>
        <w:rFonts w:hint="default" w:ascii="Wingdings" w:hAnsi="Wingdings"/>
      </w:rPr>
    </w:lvl>
    <w:lvl w:ilvl="3" w:tplc="04090001">
      <w:start w:val="1"/>
      <w:numFmt w:val="bullet"/>
      <w:lvlText w:val=""/>
      <w:lvlJc w:val="left"/>
      <w:pPr>
        <w:ind w:left="2988" w:hanging="360"/>
      </w:pPr>
      <w:rPr>
        <w:rFonts w:hint="default" w:ascii="Symbol" w:hAnsi="Symbol"/>
      </w:rPr>
    </w:lvl>
    <w:lvl w:ilvl="4" w:tplc="04090003">
      <w:start w:val="1"/>
      <w:numFmt w:val="bullet"/>
      <w:lvlText w:val="o"/>
      <w:lvlJc w:val="left"/>
      <w:pPr>
        <w:ind w:left="3708" w:hanging="360"/>
      </w:pPr>
      <w:rPr>
        <w:rFonts w:hint="default" w:ascii="Courier New" w:hAnsi="Courier New" w:cs="Courier New"/>
      </w:rPr>
    </w:lvl>
    <w:lvl w:ilvl="5" w:tplc="04090005">
      <w:start w:val="1"/>
      <w:numFmt w:val="bullet"/>
      <w:lvlText w:val=""/>
      <w:lvlJc w:val="left"/>
      <w:pPr>
        <w:ind w:left="4428" w:hanging="360"/>
      </w:pPr>
      <w:rPr>
        <w:rFonts w:hint="default" w:ascii="Wingdings" w:hAnsi="Wingdings"/>
      </w:rPr>
    </w:lvl>
    <w:lvl w:ilvl="6" w:tplc="04090001">
      <w:start w:val="1"/>
      <w:numFmt w:val="bullet"/>
      <w:lvlText w:val=""/>
      <w:lvlJc w:val="left"/>
      <w:pPr>
        <w:ind w:left="5148" w:hanging="360"/>
      </w:pPr>
      <w:rPr>
        <w:rFonts w:hint="default" w:ascii="Symbol" w:hAnsi="Symbol"/>
      </w:rPr>
    </w:lvl>
    <w:lvl w:ilvl="7" w:tplc="04090003">
      <w:start w:val="1"/>
      <w:numFmt w:val="bullet"/>
      <w:lvlText w:val="o"/>
      <w:lvlJc w:val="left"/>
      <w:pPr>
        <w:ind w:left="5868" w:hanging="360"/>
      </w:pPr>
      <w:rPr>
        <w:rFonts w:hint="default" w:ascii="Courier New" w:hAnsi="Courier New" w:cs="Courier New"/>
      </w:rPr>
    </w:lvl>
    <w:lvl w:ilvl="8" w:tplc="04090005">
      <w:start w:val="1"/>
      <w:numFmt w:val="bullet"/>
      <w:lvlText w:val=""/>
      <w:lvlJc w:val="left"/>
      <w:pPr>
        <w:ind w:left="6588"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xNLO0MDQwNDEwN7ZQ0lEKTi0uzszPAykwrAUAFT0BMiwAAAA="/>
  </w:docVars>
  <w:rsids>
    <w:rsidRoot w:val="00094788"/>
    <w:rsid w:val="000537A5"/>
    <w:rsid w:val="00094788"/>
    <w:rsid w:val="003330ED"/>
    <w:rsid w:val="003452F5"/>
    <w:rsid w:val="005F6730"/>
    <w:rsid w:val="007A2771"/>
    <w:rsid w:val="009666D1"/>
    <w:rsid w:val="00A27749"/>
    <w:rsid w:val="00A66F9E"/>
    <w:rsid w:val="00CD2352"/>
    <w:rsid w:val="00D27B03"/>
    <w:rsid w:val="00FE313D"/>
    <w:rsid w:val="1F8EE02B"/>
    <w:rsid w:val="1FED6831"/>
    <w:rsid w:val="7568F20F"/>
    <w:rsid w:val="7E5C5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2E08"/>
  <w15:chartTrackingRefBased/>
  <w15:docId w15:val="{7C8D285C-60F7-4141-B9AF-0E1E41BF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val="en-US" w:eastAsia="zh-CN"/>
    </w:rPr>
  </w:style>
  <w:style w:type="character" w:styleId="FooterChar" w:customStyle="1">
    <w:name w:val="Footer Char"/>
    <w:basedOn w:val="DefaultParagraphFont"/>
    <w:link w:val="Footer"/>
    <w:rsid w:val="00094788"/>
    <w:rPr>
      <w:rFonts w:eastAsiaTheme="minorEastAsia"/>
      <w:lang w:val="en-US" w:eastAsia="zh-CN"/>
    </w:rPr>
  </w:style>
  <w:style w:type="paragraph" w:styleId="04FOOTER" w:customStyle="1">
    <w:name w:val="04_FOOTER"/>
    <w:basedOn w:val="Normal"/>
    <w:rsid w:val="00094788"/>
    <w:pPr>
      <w:spacing w:after="0" w:line="160" w:lineRule="exact"/>
    </w:pPr>
    <w:rPr>
      <w:rFonts w:ascii="Arial" w:hAnsi="Arial" w:eastAsia="Times New Roman" w:cs="Times New Roman"/>
      <w:color w:val="000000"/>
      <w:sz w:val="14"/>
      <w:szCs w:val="20"/>
      <w:lang w:val="en-US" w:eastAsia="it-IT"/>
    </w:rPr>
  </w:style>
  <w:style w:type="character" w:styleId="Hyperlink">
    <w:name w:val="Hyperlink"/>
    <w:unhideWhenUsed/>
    <w:rsid w:val="00094788"/>
    <w:rPr>
      <w:color w:val="0000FF"/>
      <w:u w:val="single"/>
    </w:rPr>
  </w:style>
  <w:style w:type="character" w:styleId="s17" w:customStyle="1">
    <w:name w:val="s17"/>
    <w:basedOn w:val="DefaultParagraphFont"/>
    <w:rsid w:val="00094788"/>
  </w:style>
  <w:style w:type="paragraph" w:styleId="01TESTO" w:customStyle="1">
    <w:name w:val="01_TESTO"/>
    <w:basedOn w:val="Normal"/>
    <w:rsid w:val="00094788"/>
    <w:pPr>
      <w:spacing w:after="0" w:line="300" w:lineRule="exact"/>
    </w:pPr>
    <w:rPr>
      <w:rFonts w:ascii="Arial" w:hAnsi="Arial" w:eastAsia="Times New Roman" w:cs="Times New Roman"/>
      <w:color w:val="000000"/>
      <w:sz w:val="19"/>
      <w:szCs w:val="20"/>
      <w:lang w:val="en-US"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n-GB"/>
    </w:rPr>
  </w:style>
  <w:style w:type="character" w:styleId="HTMLPreformattedChar" w:customStyle="1">
    <w:name w:val="HTML Preformatted Char"/>
    <w:basedOn w:val="DefaultParagraphFont"/>
    <w:link w:val="HTMLPreformatted"/>
    <w:uiPriority w:val="99"/>
    <w:semiHidden/>
    <w:rsid w:val="00094788"/>
    <w:rPr>
      <w:rFonts w:ascii="Courier New" w:hAnsi="Courier New" w:eastAsia="Times New Roman" w:cs="Courier New"/>
      <w:sz w:val="20"/>
      <w:szCs w:val="20"/>
      <w:lang w:eastAsia="en-GB"/>
    </w:rPr>
  </w:style>
  <w:style w:type="paragraph" w:styleId="CommentText">
    <w:name w:val="annotation text"/>
    <w:basedOn w:val="Normal"/>
    <w:link w:val="CommentTextChar"/>
    <w:semiHidden/>
    <w:unhideWhenUsed/>
    <w:rsid w:val="000537A5"/>
    <w:pPr>
      <w:spacing w:after="0" w:line="300" w:lineRule="exact"/>
    </w:pPr>
    <w:rPr>
      <w:rFonts w:ascii="Arial" w:hAnsi="Arial" w:eastAsia="Times New Roman" w:cs="Times New Roman"/>
      <w:color w:val="000000"/>
      <w:sz w:val="20"/>
      <w:szCs w:val="20"/>
      <w:lang w:val="it-IT" w:eastAsia="it-IT"/>
    </w:rPr>
  </w:style>
  <w:style w:type="character" w:styleId="CommentTextChar" w:customStyle="1">
    <w:name w:val="Comment Text Char"/>
    <w:basedOn w:val="DefaultParagraphFont"/>
    <w:link w:val="CommentText"/>
    <w:semiHidden/>
    <w:rsid w:val="000537A5"/>
    <w:rPr>
      <w:rFonts w:ascii="Arial" w:hAnsi="Arial" w:eastAsia="Times New Roman" w:cs="Times New Roman"/>
      <w:color w:val="000000"/>
      <w:sz w:val="20"/>
      <w:szCs w:val="20"/>
      <w:lang w:val="it-IT" w:eastAsia="it-IT"/>
    </w:rPr>
  </w:style>
  <w:style w:type="paragraph" w:styleId="ListParagraph">
    <w:name w:val="List Paragraph"/>
    <w:basedOn w:val="Normal"/>
    <w:uiPriority w:val="34"/>
    <w:qFormat/>
    <w:rsid w:val="000537A5"/>
    <w:pPr>
      <w:spacing w:after="0" w:line="240" w:lineRule="auto"/>
      <w:ind w:left="720"/>
      <w:contextualSpacing/>
    </w:pPr>
    <w:rPr>
      <w:rFonts w:ascii="Calibri" w:hAnsi="Calibri" w:eastAsia="Calibri" w:cs="Times New Roman"/>
      <w:lang w:val="en-US"/>
    </w:rPr>
  </w:style>
  <w:style w:type="character" w:styleId="CommentReference">
    <w:name w:val="annotation reference"/>
    <w:semiHidden/>
    <w:unhideWhenUsed/>
    <w:rsid w:val="000537A5"/>
    <w:rPr>
      <w:sz w:val="16"/>
      <w:szCs w:val="16"/>
    </w:rPr>
  </w:style>
  <w:style w:type="paragraph" w:styleId="BalloonText">
    <w:name w:val="Balloon Text"/>
    <w:basedOn w:val="Normal"/>
    <w:link w:val="BalloonTextChar"/>
    <w:uiPriority w:val="99"/>
    <w:semiHidden/>
    <w:unhideWhenUsed/>
    <w:rsid w:val="000537A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537A5"/>
    <w:rPr>
      <w:rFonts w:ascii="Segoe UI" w:hAnsi="Segoe UI" w:cs="Segoe UI"/>
      <w:sz w:val="18"/>
      <w:szCs w:val="18"/>
    </w:rPr>
  </w:style>
  <w:style w:type="table" w:styleId="TableGrid">
    <w:name w:val="Table Grid"/>
    <w:aliases w:val="PIEDINO"/>
    <w:basedOn w:val="TableNormal"/>
    <w:uiPriority w:val="59"/>
    <w:rsid w:val="000537A5"/>
    <w:pPr>
      <w:spacing w:after="0" w:line="160" w:lineRule="exact"/>
    </w:pPr>
    <w:rPr>
      <w:rFonts w:ascii="Arial" w:hAnsi="Arial" w:eastAsia="Times New Roman" w:cs="Times New Roman"/>
      <w:color w:val="000000"/>
      <w:sz w:val="15"/>
      <w:szCs w:val="20"/>
      <w:lang w:val="en-US"/>
    </w:rPr>
    <w:tblPr>
      <w:tblInd w:w="0" w:type="nil"/>
      <w:tblCellMar>
        <w:left w:w="0" w:type="dxa"/>
        <w:right w:w="0" w:type="dxa"/>
      </w:tblCellMar>
    </w:tblPr>
    <w:tcPr>
      <w:vAlign w:val="bottom"/>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6885053">
      <w:bodyDiv w:val="1"/>
      <w:marLeft w:val="0"/>
      <w:marRight w:val="0"/>
      <w:marTop w:val="0"/>
      <w:marBottom w:val="0"/>
      <w:divBdr>
        <w:top w:val="none" w:sz="0" w:space="0" w:color="auto"/>
        <w:left w:val="none" w:sz="0" w:space="0" w:color="auto"/>
        <w:bottom w:val="none" w:sz="0" w:space="0" w:color="auto"/>
        <w:right w:val="none" w:sz="0" w:space="0" w:color="auto"/>
      </w:divBdr>
    </w:div>
    <w:div w:id="1445030573">
      <w:bodyDiv w:val="1"/>
      <w:marLeft w:val="0"/>
      <w:marRight w:val="0"/>
      <w:marTop w:val="0"/>
      <w:marBottom w:val="0"/>
      <w:divBdr>
        <w:top w:val="none" w:sz="0" w:space="0" w:color="auto"/>
        <w:left w:val="none" w:sz="0" w:space="0" w:color="auto"/>
        <w:bottom w:val="none" w:sz="0" w:space="0" w:color="auto"/>
        <w:right w:val="none" w:sz="0" w:space="0" w:color="auto"/>
      </w:divBdr>
    </w:div>
    <w:div w:id="193358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26" /><Relationship Type="http://schemas.openxmlformats.org/officeDocument/2006/relationships/settings" Target="settings.xml" Id="rId3" /><Relationship Type="http://schemas.openxmlformats.org/officeDocument/2006/relationships/hyperlink" Target="http://www.cnhindustrial.com" TargetMode="External" Id="rId21" /><Relationship Type="http://schemas.openxmlformats.org/officeDocument/2006/relationships/hyperlink" Target="http://www.casecetools.com/press-kit" TargetMode="External" Id="rId7" /><Relationship Type="http://schemas.openxmlformats.org/officeDocument/2006/relationships/header" Target="header2.xml" Id="rId25" /><Relationship Type="http://schemas.openxmlformats.org/officeDocument/2006/relationships/styles" Target="styles.xml" Id="rId2" /><Relationship Type="http://schemas.openxmlformats.org/officeDocument/2006/relationships/hyperlink" Target="http://www.CASEce.com" TargetMode="External" Id="rId20" /><Relationship Type="http://schemas.openxmlformats.org/officeDocument/2006/relationships/customXml" Target="../customXml/item1.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24" /><Relationship Type="http://schemas.openxmlformats.org/officeDocument/2006/relationships/footnotes" Target="footnotes.xml" Id="rId5" /><Relationship Type="http://schemas.openxmlformats.org/officeDocument/2006/relationships/header" Target="header1.xml" Id="rId23" /><Relationship Type="http://schemas.openxmlformats.org/officeDocument/2006/relationships/theme" Target="theme/theme1.xml" Id="rId28" /><Relationship Type="http://schemas.openxmlformats.org/officeDocument/2006/relationships/customXml" Target="../customXml/item3.xml" Id="rId31" /><Relationship Type="http://schemas.openxmlformats.org/officeDocument/2006/relationships/webSettings" Target="webSettings.xml" Id="rId4" /><Relationship Type="http://schemas.openxmlformats.org/officeDocument/2006/relationships/hyperlink" Target="mailto:emma@copestone.uk.com" TargetMode="External" Id="rId22" /><Relationship Type="http://schemas.openxmlformats.org/officeDocument/2006/relationships/fontTable" Target="fontTable.xml" Id="rId27" /><Relationship Type="http://schemas.openxmlformats.org/officeDocument/2006/relationships/customXml" Target="../customXml/item2.xml" Id="rId30" /><Relationship Type="http://schemas.openxmlformats.org/officeDocument/2006/relationships/image" Target="/media/imagec.png" Id="Rd27d88c31e6b47f1" /><Relationship Type="http://schemas.openxmlformats.org/officeDocument/2006/relationships/hyperlink" Target="https://www.facebook.com/caseconstructionequipment" TargetMode="External" Id="R77b4f317909d4410" /><Relationship Type="http://schemas.openxmlformats.org/officeDocument/2006/relationships/image" Target="/media/imaged.png" Id="R871d7cdb7837407d" /><Relationship Type="http://schemas.openxmlformats.org/officeDocument/2006/relationships/hyperlink" Target="https://twitter.com/#!/casece" TargetMode="External" Id="R5f84ab1535ac4c70" /><Relationship Type="http://schemas.openxmlformats.org/officeDocument/2006/relationships/image" Target="/media/imagee.png" Id="Rdf35efa8b8ff4213" /><Relationship Type="http://schemas.openxmlformats.org/officeDocument/2006/relationships/hyperlink" Target="https://www.youtube.com/user/Caseatwork" TargetMode="External" Id="R7ea2c0800d59488b" /><Relationship Type="http://schemas.openxmlformats.org/officeDocument/2006/relationships/image" Target="/media/imagef.png" Id="Rf3f1d75d39ad4b55" /><Relationship Type="http://schemas.openxmlformats.org/officeDocument/2006/relationships/hyperlink" Target="https://www.linkedin.com/company/case-construction-equipment" TargetMode="External" Id="Rae1f9159949a4df1"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2" ma:contentTypeDescription="Create a new document." ma:contentTypeScope="" ma:versionID="786b14168d4f91868a3dfd08db1bc3e5">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405060b1ede95acee232d8708bdb2804"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89290-3709-4C26-9C53-A36C42DC1CE5}"/>
</file>

<file path=customXml/itemProps2.xml><?xml version="1.0" encoding="utf-8"?>
<ds:datastoreItem xmlns:ds="http://schemas.openxmlformats.org/officeDocument/2006/customXml" ds:itemID="{45E82C66-6D6C-4C77-84AF-631436195187}"/>
</file>

<file path=customXml/itemProps3.xml><?xml version="1.0" encoding="utf-8"?>
<ds:datastoreItem xmlns:ds="http://schemas.openxmlformats.org/officeDocument/2006/customXml" ds:itemID="{B1C66229-482F-42AC-B356-78CA85692F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Oddie</dc:creator>
  <keywords/>
  <dc:description/>
  <lastModifiedBy>Brad Kilner</lastModifiedBy>
  <revision>4</revision>
  <dcterms:created xsi:type="dcterms:W3CDTF">2020-06-04T09:10:00.0000000Z</dcterms:created>
  <dcterms:modified xsi:type="dcterms:W3CDTF">2020-06-05T06:54:12.9925441Z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0x0101009E84E073D418E04D82F7095C75FFCCF4</vt:lpwstr>
  </property>
</Properties>
</file>