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A92957" w14:textId="77777777" w:rsidR="00DF02B4" w:rsidRPr="00560632" w:rsidRDefault="00BC1128">
      <w:pPr>
        <w:pStyle w:val="01TESTO"/>
        <w:spacing w:line="276" w:lineRule="auto"/>
        <w:jc w:val="center"/>
        <w:rPr>
          <w:rFonts w:ascii="Gill Sans MT" w:hAnsi="Gill Sans MT" w:cs="Arial"/>
          <w:b/>
          <w:bCs/>
          <w:sz w:val="24"/>
          <w:szCs w:val="24"/>
          <w:lang w:val="de-AT"/>
        </w:rPr>
      </w:pPr>
      <w:bookmarkStart w:id="0" w:name="_Hlk527710660"/>
      <w:bookmarkStart w:id="1" w:name="_Hlk510438457"/>
      <w:r w:rsidRPr="00560632">
        <w:rPr>
          <w:rFonts w:ascii="Gill Sans MT" w:hAnsi="Gill Sans MT" w:cs="Arial"/>
          <w:b/>
          <w:bCs/>
          <w:sz w:val="24"/>
          <w:szCs w:val="24"/>
          <w:lang w:val="de-AT"/>
        </w:rPr>
        <w:t>CEMEX wählt CASE als Maschinenlieferant</w:t>
      </w:r>
    </w:p>
    <w:p w14:paraId="41A3C9A5" w14:textId="77777777" w:rsidR="00DF02B4" w:rsidRPr="00560632" w:rsidRDefault="00DF02B4">
      <w:pPr>
        <w:pStyle w:val="01TESTO"/>
        <w:spacing w:line="276" w:lineRule="auto"/>
        <w:jc w:val="center"/>
        <w:rPr>
          <w:rFonts w:ascii="Gill Sans MT" w:hAnsi="Gill Sans MT" w:cs="Arial"/>
          <w:b/>
          <w:bCs/>
          <w:sz w:val="24"/>
          <w:szCs w:val="24"/>
          <w:lang w:val="de-AT"/>
        </w:rPr>
      </w:pPr>
    </w:p>
    <w:p w14:paraId="437B8D04" w14:textId="77777777" w:rsidR="00DF02B4" w:rsidRPr="00560632" w:rsidRDefault="00BC1128">
      <w:pPr>
        <w:rPr>
          <w:rFonts w:ascii="Gill Sans MT" w:hAnsi="Gill Sans MT" w:cs="Arial"/>
          <w:bCs/>
          <w:i/>
          <w:iCs/>
          <w:szCs w:val="19"/>
          <w:lang w:val="de-AT"/>
        </w:rPr>
      </w:pPr>
      <w:r w:rsidRPr="00560632">
        <w:rPr>
          <w:rFonts w:ascii="Gill Sans MT" w:hAnsi="Gill Sans MT" w:cs="Arial"/>
          <w:bCs/>
          <w:i/>
          <w:iCs/>
          <w:szCs w:val="19"/>
          <w:lang w:val="de-AT"/>
        </w:rPr>
        <w:t>Turin, 12. November 2021</w:t>
      </w:r>
    </w:p>
    <w:p w14:paraId="75DDB6A1" w14:textId="77777777" w:rsidR="00DF02B4" w:rsidRDefault="00BC1128">
      <w:pPr>
        <w:rPr>
          <w:rFonts w:ascii="Gill Sans MT" w:hAnsi="Gill Sans MT" w:cs="Arial"/>
          <w:lang w:val="de-DE"/>
        </w:rPr>
      </w:pPr>
      <w:r>
        <w:rPr>
          <w:rFonts w:ascii="Gill Sans MT" w:hAnsi="Gill Sans MT" w:cs="Arial"/>
          <w:lang w:val="de-DE"/>
        </w:rPr>
        <w:t xml:space="preserve">CASE Construction Equipment gibt bekannt, dass das Unternehmen im Rahmen einer Ausschreibung des branchenführenden Baustoffunternehmens CEMEX als einer von zwei Lieferanten ausgewählt wurde. Diese Vereinbarung besiegelt die Zusammenarbeit zwischen den beiden Marken und beinhaltet die Erteilung eines Großauftrags zur Beschaffung von CASE Maschinen mit reduziertem Kraftstoffverbrauch für mehrere Märkte in Europa, darunter Frankreich, Spanien, die Tschechische Republik, Polen, Deutschland und Großbritannien. </w:t>
      </w:r>
    </w:p>
    <w:p w14:paraId="55B43912" w14:textId="77777777" w:rsidR="00DF02B4" w:rsidRDefault="00BC1128">
      <w:pPr>
        <w:rPr>
          <w:rFonts w:ascii="Gill Sans MT" w:hAnsi="Gill Sans MT" w:cs="Arial"/>
          <w:lang w:val="de-DE"/>
        </w:rPr>
      </w:pPr>
      <w:r>
        <w:rPr>
          <w:rFonts w:ascii="Gill Sans MT" w:hAnsi="Gill Sans MT" w:cs="Arial"/>
          <w:lang w:val="de-DE"/>
        </w:rPr>
        <w:t xml:space="preserve">Nach dem Zuschlag für eine Teilausschreibung wurde bereits die erste Maschinentranche in Frankreich ausgeliefert. In den kommenden Wochen werden weitere Maschinen folgen. </w:t>
      </w:r>
    </w:p>
    <w:p w14:paraId="7DFE47AB" w14:textId="77777777" w:rsidR="00DF02B4" w:rsidRDefault="00BC1128">
      <w:pPr>
        <w:rPr>
          <w:rFonts w:ascii="Gill Sans MT" w:hAnsi="Gill Sans MT" w:cs="Arial"/>
          <w:lang w:val="de-DE"/>
        </w:rPr>
      </w:pPr>
      <w:r>
        <w:rPr>
          <w:rFonts w:ascii="Gill Sans MT" w:hAnsi="Gill Sans MT" w:cs="Arial"/>
          <w:lang w:val="de-DE"/>
        </w:rPr>
        <w:t xml:space="preserve">Im Namen von CASE erklärt Andrea Rapali, Key Account Director für Europa: „CEMEX ist ein weltweit tätiges Baustoffunternehmen, das mit nachhaltigen Produkten und Lösungen den Weg in eine bessere Zukunft ebnet. Wir freuen uns sehr, dass sich CEMEX für CASE entschieden hat und darauf, unsere bestehende Geschäftsbeziehung zu vertiefen und auch zukünftig eng zusammenzuarbeiten.“ </w:t>
      </w:r>
    </w:p>
    <w:p w14:paraId="1F106D0D" w14:textId="77777777" w:rsidR="00DF02B4" w:rsidRDefault="00BC1128">
      <w:pPr>
        <w:rPr>
          <w:rFonts w:ascii="Gill Sans MT" w:hAnsi="Gill Sans MT" w:cs="Arial"/>
          <w:lang w:val="de-DE"/>
        </w:rPr>
      </w:pPr>
      <w:r>
        <w:rPr>
          <w:rFonts w:ascii="Gill Sans MT" w:hAnsi="Gill Sans MT" w:cs="Arial"/>
          <w:lang w:val="de-DE"/>
        </w:rPr>
        <w:t xml:space="preserve">Craig Hooper, Mobile Equipment Fleet &amp; Category Manager bei CEMEX Europe, erklärte dazu: „Als einer der weltweit größten Anbieter von Baulösungen hat sich CEMEX verpflichtet, eine Vorreiterrolle auf dem Weg zu einer kohlenstoffarmen Wirtschaft einzunehmen und alle seine Geschäftsbereiche eingehend zu überprüfen, um Effizienzverbesserungen zu erzielen.“ </w:t>
      </w:r>
    </w:p>
    <w:p w14:paraId="54343E00" w14:textId="77777777" w:rsidR="00DF02B4" w:rsidRDefault="00BC1128">
      <w:pPr>
        <w:rPr>
          <w:rFonts w:ascii="Gill Sans MT" w:hAnsi="Gill Sans MT" w:cs="Arial"/>
          <w:lang w:val="de-DE"/>
        </w:rPr>
      </w:pPr>
      <w:r>
        <w:rPr>
          <w:rFonts w:ascii="Gill Sans MT" w:hAnsi="Gill Sans MT" w:cs="Arial"/>
          <w:lang w:val="de-DE"/>
        </w:rPr>
        <w:t>Er ergänzte dann: „Die von uns im Rahmen unserer Geschäftstätigkeit eingesetzten Fahrzeuge sind ein wichtiger Teil davon. Und wir freuen uns, dass wir mit CASE einen Vertrag über diese Fahrzeuge abschließen konnten, die einen erheblichen Nachhaltigkeitsvorteil für die europäischen Aktivitäten von CEMEX darstellen. Die Fahrzeuge sind mit fortschrittlicher Technologie ausgestattet und verbrauchen dank eines verbesserten Leistungsgewichts weniger Kraftstoff. Wir freuen uns auf die Zusammenarbeit mit CASE</w:t>
      </w:r>
      <w:r w:rsidR="00560632">
        <w:rPr>
          <w:rFonts w:ascii="Gill Sans MT" w:hAnsi="Gill Sans MT" w:cs="Arial"/>
          <w:lang w:val="de-DE"/>
        </w:rPr>
        <w:t xml:space="preserve"> und die damit verbundene weitere</w:t>
      </w:r>
      <w:r>
        <w:rPr>
          <w:rFonts w:ascii="Gill Sans MT" w:hAnsi="Gill Sans MT" w:cs="Arial"/>
          <w:lang w:val="de-DE"/>
        </w:rPr>
        <w:t xml:space="preserve"> Verbesserung der Umweltfreundlichkeit unserer Flotte.“</w:t>
      </w:r>
    </w:p>
    <w:p w14:paraId="733B5B44" w14:textId="77777777" w:rsidR="00DF02B4" w:rsidRDefault="00BC1128">
      <w:pPr>
        <w:rPr>
          <w:rFonts w:ascii="Gill Sans MT" w:hAnsi="Gill Sans MT" w:cs="Arial"/>
          <w:lang w:val="de-DE"/>
        </w:rPr>
      </w:pPr>
      <w:r>
        <w:rPr>
          <w:rFonts w:ascii="Gill Sans MT" w:hAnsi="Gill Sans MT" w:cs="Arial"/>
          <w:lang w:val="de-DE"/>
        </w:rPr>
        <w:t>Im Zuge dieses Auftrags werden folgende Maschinen an verschiedene CEMEX-Standorte in ganz Europa geliefert:</w:t>
      </w:r>
    </w:p>
    <w:p w14:paraId="472934AB" w14:textId="77777777" w:rsidR="00DF02B4" w:rsidRDefault="00BC1128">
      <w:pPr>
        <w:pStyle w:val="ListParagraph"/>
        <w:numPr>
          <w:ilvl w:val="0"/>
          <w:numId w:val="5"/>
        </w:numPr>
        <w:rPr>
          <w:rFonts w:ascii="Gill Sans MT" w:hAnsi="Gill Sans MT" w:cs="Arial"/>
          <w:lang w:val="de-DE"/>
        </w:rPr>
      </w:pPr>
      <w:r>
        <w:rPr>
          <w:rFonts w:ascii="Gill Sans MT" w:hAnsi="Gill Sans MT" w:cs="Arial"/>
          <w:lang w:val="de-DE"/>
        </w:rPr>
        <w:t>zwei 1650M Planierraupen, zwei 580ST Baggerlader, ein 1121G und zwei 521G Radlader nach Frankreich</w:t>
      </w:r>
    </w:p>
    <w:p w14:paraId="12D64C6E" w14:textId="77777777" w:rsidR="00DF02B4" w:rsidRDefault="00BC1128">
      <w:pPr>
        <w:pStyle w:val="ListParagraph"/>
        <w:numPr>
          <w:ilvl w:val="0"/>
          <w:numId w:val="5"/>
        </w:numPr>
        <w:rPr>
          <w:rFonts w:ascii="Gill Sans MT" w:hAnsi="Gill Sans MT" w:cs="Arial"/>
          <w:lang w:val="de-DE"/>
        </w:rPr>
      </w:pPr>
      <w:r>
        <w:rPr>
          <w:rFonts w:ascii="Gill Sans MT" w:hAnsi="Gill Sans MT" w:cs="Arial"/>
          <w:lang w:val="de-DE"/>
        </w:rPr>
        <w:t>zwei 821G Radlader nach Spanien</w:t>
      </w:r>
    </w:p>
    <w:p w14:paraId="423ED64D" w14:textId="77777777" w:rsidR="00DF02B4" w:rsidRDefault="00BC1128">
      <w:pPr>
        <w:pStyle w:val="ListParagraph"/>
        <w:numPr>
          <w:ilvl w:val="0"/>
          <w:numId w:val="5"/>
        </w:numPr>
        <w:rPr>
          <w:rFonts w:ascii="Gill Sans MT" w:hAnsi="Gill Sans MT" w:cs="Arial"/>
          <w:lang w:val="de-DE"/>
        </w:rPr>
      </w:pPr>
      <w:r>
        <w:rPr>
          <w:rFonts w:ascii="Gill Sans MT" w:hAnsi="Gill Sans MT" w:cs="Arial"/>
          <w:lang w:val="de-DE"/>
        </w:rPr>
        <w:t>zwei 821G Radlader nach Polen</w:t>
      </w:r>
    </w:p>
    <w:p w14:paraId="7FB0269B" w14:textId="77777777" w:rsidR="00DF02B4" w:rsidRDefault="00BC1128">
      <w:pPr>
        <w:pStyle w:val="ListParagraph"/>
        <w:numPr>
          <w:ilvl w:val="0"/>
          <w:numId w:val="5"/>
        </w:numPr>
        <w:rPr>
          <w:rFonts w:ascii="Gill Sans MT" w:hAnsi="Gill Sans MT" w:cs="Arial"/>
          <w:lang w:val="de-DE"/>
        </w:rPr>
      </w:pPr>
      <w:r>
        <w:rPr>
          <w:rFonts w:ascii="Gill Sans MT" w:hAnsi="Gill Sans MT" w:cs="Arial"/>
          <w:lang w:val="de-DE"/>
        </w:rPr>
        <w:t>ein 621G Radlader in die Tschechische Republik</w:t>
      </w:r>
    </w:p>
    <w:p w14:paraId="23C5F1F6" w14:textId="77777777" w:rsidR="00DF02B4" w:rsidRDefault="00BC1128">
      <w:pPr>
        <w:pStyle w:val="ListParagraph"/>
        <w:numPr>
          <w:ilvl w:val="0"/>
          <w:numId w:val="5"/>
        </w:numPr>
        <w:rPr>
          <w:rFonts w:ascii="Gill Sans MT" w:hAnsi="Gill Sans MT" w:cs="Arial"/>
          <w:lang w:val="de-DE"/>
        </w:rPr>
      </w:pPr>
      <w:r>
        <w:rPr>
          <w:rFonts w:ascii="Gill Sans MT" w:hAnsi="Gill Sans MT" w:cs="Arial"/>
          <w:lang w:val="de-DE"/>
        </w:rPr>
        <w:t>ein 1021G Radlader nach Deutschland</w:t>
      </w:r>
    </w:p>
    <w:p w14:paraId="7BE02256" w14:textId="77777777" w:rsidR="00DF02B4" w:rsidRDefault="00BC1128">
      <w:pPr>
        <w:pStyle w:val="ListParagraph"/>
        <w:numPr>
          <w:ilvl w:val="0"/>
          <w:numId w:val="5"/>
        </w:numPr>
        <w:rPr>
          <w:rFonts w:ascii="Gill Sans MT" w:hAnsi="Gill Sans MT" w:cs="Arial"/>
          <w:lang w:val="de-DE"/>
        </w:rPr>
      </w:pPr>
      <w:r>
        <w:rPr>
          <w:rFonts w:ascii="Gill Sans MT" w:hAnsi="Gill Sans MT" w:cs="Arial"/>
          <w:lang w:val="de-DE"/>
        </w:rPr>
        <w:t>ein 621G, ein 821G Radlader und ein 580ST Baggerlader in das Vereinigte Königreich.</w:t>
      </w:r>
    </w:p>
    <w:p w14:paraId="60923161" w14:textId="77777777" w:rsidR="00DF02B4" w:rsidRDefault="00DF02B4">
      <w:pPr>
        <w:rPr>
          <w:rFonts w:ascii="Gill Sans MT" w:hAnsi="Gill Sans MT"/>
          <w:color w:val="000000"/>
          <w:shd w:val="clear" w:color="auto" w:fill="FFFFFF"/>
          <w:lang w:val="de-DE"/>
        </w:rPr>
      </w:pPr>
    </w:p>
    <w:p w14:paraId="637D450E" w14:textId="77777777" w:rsidR="00DF02B4" w:rsidRPr="00560632" w:rsidRDefault="00DF02B4">
      <w:pPr>
        <w:rPr>
          <w:rFonts w:cs="Arial"/>
          <w:b/>
          <w:szCs w:val="19"/>
          <w:u w:val="single"/>
          <w:lang w:val="de-AT"/>
        </w:rPr>
      </w:pPr>
    </w:p>
    <w:p w14:paraId="57CF1CBA" w14:textId="77777777" w:rsidR="00DF02B4" w:rsidRPr="00560632" w:rsidRDefault="00DF02B4">
      <w:pPr>
        <w:rPr>
          <w:rFonts w:ascii="Gill Sans MT" w:hAnsi="Gill Sans MT" w:cs="Arial"/>
          <w:b/>
          <w:sz w:val="19"/>
          <w:szCs w:val="19"/>
          <w:lang w:val="de-AT"/>
        </w:rPr>
      </w:pPr>
      <w:bookmarkStart w:id="2" w:name="_Hlk527712510"/>
    </w:p>
    <w:bookmarkEnd w:id="0"/>
    <w:bookmarkEnd w:id="1"/>
    <w:bookmarkEnd w:id="2"/>
    <w:p w14:paraId="5A97C49D" w14:textId="77777777" w:rsidR="002D23D5" w:rsidRDefault="002D23D5" w:rsidP="002D23D5">
      <w:pPr>
        <w:tabs>
          <w:tab w:val="left" w:pos="963"/>
        </w:tabs>
        <w:spacing w:before="100" w:beforeAutospacing="1" w:after="100" w:afterAutospacing="1"/>
        <w:rPr>
          <w:rFonts w:ascii="HelveticaNeueLT Std" w:hAnsi="HelveticaNeueLT Std"/>
          <w:lang w:val="de-DE"/>
        </w:rPr>
      </w:pPr>
      <w:r>
        <w:rPr>
          <w:rFonts w:ascii="HelveticaNeueLT Std" w:hAnsi="HelveticaNeueLT Std" w:cs="Arial"/>
          <w:szCs w:val="24"/>
          <w:lang w:val="de-DE" w:eastAsia="es-ES"/>
        </w:rPr>
        <w:lastRenderedPageBreak/>
        <w:t xml:space="preserve">Von unserer Website können Sie Texte, Videos und Bilddateien in hoher Auflösung (JPG 300 DPI, CMYK) zu dieser Pressemeldung herunterladen: </w:t>
      </w:r>
      <w:hyperlink r:id="rId11" w:history="1">
        <w:r>
          <w:rPr>
            <w:rStyle w:val="Hyperlink"/>
            <w:rFonts w:ascii="HelveticaNeueLT Std" w:hAnsi="HelveticaNeueLT Std" w:cs="Arial"/>
            <w:szCs w:val="24"/>
            <w:lang w:val="de-DE" w:eastAsia="es-ES"/>
          </w:rPr>
          <w:t>www.casecetools.com/press-kit</w:t>
        </w:r>
      </w:hyperlink>
    </w:p>
    <w:p w14:paraId="0B5EAAE8" w14:textId="77777777" w:rsidR="002D23D5" w:rsidRDefault="002D23D5" w:rsidP="002D23D5">
      <w:pPr>
        <w:spacing w:before="100" w:beforeAutospacing="1" w:after="100" w:afterAutospacing="1"/>
        <w:rPr>
          <w:rFonts w:ascii="HelveticaNeueLT Std" w:hAnsi="HelveticaNeueLT Std"/>
          <w:i/>
          <w:iCs/>
          <w:sz w:val="16"/>
          <w:szCs w:val="16"/>
          <w:lang w:val="de-DE"/>
        </w:rPr>
      </w:pPr>
      <w:r>
        <w:rPr>
          <w:rFonts w:ascii="HelveticaNeueLT Std" w:hAnsi="HelveticaNeueLT Std" w:cs="Arial"/>
          <w:i/>
          <w:iCs/>
          <w:sz w:val="16"/>
          <w:szCs w:val="16"/>
          <w:lang w:val="de-DE"/>
        </w:rPr>
        <w:t>CASE Construction Equipment vertreibt auf der ganzen Welt ein komplettes Angebot verschiedenster Baumaschinen, darunter Baggerlader (Marktführer), Raupen- und Mobilbagger, Motorgrader, Radlader, Kompaktlader, Raupenkompaktlader und Allweg-Stapler. Über das internationale Händlernetz bietet CASE seinen Kunden eine professionelle Partnerschaft – mit leistungsfähigen Maschinen und einem Kundendienst der Spitzenklasse, branchenführenden Garantieleistungen und flexiblen Finanzierungslösungen. Weitere Informationen finden Sie unter</w:t>
      </w:r>
      <w:r>
        <w:rPr>
          <w:rFonts w:ascii="HelveticaNeueLT Std" w:hAnsi="HelveticaNeueLT Std"/>
          <w:i/>
          <w:iCs/>
          <w:sz w:val="16"/>
          <w:szCs w:val="16"/>
          <w:lang w:val="de-DE"/>
        </w:rPr>
        <w:t xml:space="preserve"> </w:t>
      </w:r>
      <w:hyperlink r:id="rId12" w:history="1">
        <w:r>
          <w:rPr>
            <w:rStyle w:val="Hyperlink"/>
            <w:rFonts w:ascii="HelveticaNeueLT Std" w:hAnsi="HelveticaNeueLT Std"/>
            <w:i/>
            <w:iCs/>
            <w:lang w:val="de-DE"/>
          </w:rPr>
          <w:t>www.CASEce.com</w:t>
        </w:r>
      </w:hyperlink>
      <w:r>
        <w:rPr>
          <w:rFonts w:ascii="HelveticaNeueLT Std" w:hAnsi="HelveticaNeueLT Std"/>
          <w:i/>
          <w:iCs/>
          <w:sz w:val="16"/>
          <w:szCs w:val="16"/>
          <w:lang w:val="de-DE"/>
        </w:rPr>
        <w:t>.</w:t>
      </w:r>
    </w:p>
    <w:p w14:paraId="49CF4106" w14:textId="77777777" w:rsidR="002D23D5" w:rsidRDefault="002D23D5" w:rsidP="002D23D5">
      <w:pPr>
        <w:rPr>
          <w:rFonts w:ascii="HelveticaNeueLT Std" w:hAnsi="HelveticaNeueLT Std"/>
          <w:i/>
          <w:iCs/>
          <w:sz w:val="16"/>
          <w:szCs w:val="16"/>
          <w:lang w:val="de-DE"/>
        </w:rPr>
      </w:pPr>
      <w:r>
        <w:rPr>
          <w:rFonts w:ascii="HelveticaNeueLT Std" w:hAnsi="HelveticaNeueLT Std" w:cs="Arial"/>
          <w:i/>
          <w:iCs/>
          <w:sz w:val="16"/>
          <w:szCs w:val="16"/>
          <w:lang w:val="de-DE"/>
        </w:rPr>
        <w:t>CASE Construction Equipment ist eine Marke von CNH Industrial N.V., einem weltweit führenden Hersteller von Investitionsgütern. Das Unternehmen ist an der New Yorker Wertpapierbörse (NYSE: CNHI) und beim elektronischen Wertpapierhandel der Italienischen Börse (MI: CNHI) registriert. Weitere Informationen finden Sie online unter</w:t>
      </w:r>
      <w:r>
        <w:rPr>
          <w:rFonts w:ascii="HelveticaNeueLT Std" w:hAnsi="HelveticaNeueLT Std"/>
          <w:i/>
          <w:iCs/>
          <w:sz w:val="16"/>
          <w:szCs w:val="16"/>
          <w:lang w:val="de-DE"/>
        </w:rPr>
        <w:t xml:space="preserve">: </w:t>
      </w:r>
      <w:hyperlink r:id="rId13" w:tooltip="file:///C:/Users/Nuria/AppData/Local/Microsoft/Windows/Temporary%20Internet%20Files/Content.Outlook/3POTRISZ/www.cnhindustrial.com" w:history="1">
        <w:r>
          <w:rPr>
            <w:rStyle w:val="Hyperlink"/>
            <w:rFonts w:ascii="HelveticaNeueLT Std" w:hAnsi="HelveticaNeueLT Std"/>
            <w:i/>
            <w:iCs/>
            <w:lang w:val="de-DE"/>
          </w:rPr>
          <w:t>www.cnhindustrial.com</w:t>
        </w:r>
      </w:hyperlink>
      <w:r>
        <w:rPr>
          <w:rFonts w:ascii="HelveticaNeueLT Std" w:hAnsi="HelveticaNeueLT Std"/>
          <w:i/>
          <w:iCs/>
          <w:sz w:val="16"/>
          <w:szCs w:val="16"/>
          <w:lang w:val="de-DE"/>
        </w:rPr>
        <w:t>.</w:t>
      </w:r>
    </w:p>
    <w:p w14:paraId="2EFE6C9B" w14:textId="77777777" w:rsidR="002D23D5" w:rsidRDefault="002D23D5" w:rsidP="002D23D5">
      <w:pPr>
        <w:rPr>
          <w:rFonts w:ascii="HelveticaNeueLT Std" w:hAnsi="HelveticaNeueLT Std" w:cs="Arial"/>
          <w:b/>
          <w:sz w:val="16"/>
          <w:szCs w:val="16"/>
          <w:lang w:val="de-DE"/>
        </w:rPr>
      </w:pPr>
    </w:p>
    <w:p w14:paraId="71993F96" w14:textId="77777777" w:rsidR="002D23D5" w:rsidRDefault="002D23D5" w:rsidP="002D23D5">
      <w:pPr>
        <w:rPr>
          <w:rFonts w:ascii="HelveticaNeueLT Std" w:hAnsi="HelveticaNeueLT Std" w:cs="Arial"/>
          <w:b/>
          <w:szCs w:val="19"/>
          <w:lang w:val="de-DE"/>
        </w:rPr>
      </w:pPr>
      <w:r>
        <w:rPr>
          <w:rFonts w:ascii="HelveticaNeueLT Std" w:hAnsi="HelveticaNeueLT Std" w:cs="Arial"/>
          <w:b/>
          <w:szCs w:val="19"/>
          <w:lang w:val="de-DE"/>
        </w:rPr>
        <w:t>Weitere Informationen erhalten Sie hier:</w:t>
      </w:r>
    </w:p>
    <w:p w14:paraId="1F29500F" w14:textId="77777777" w:rsidR="002D23D5" w:rsidRPr="00C83A7D" w:rsidRDefault="002D23D5" w:rsidP="002D23D5">
      <w:pPr>
        <w:pStyle w:val="01TESTO"/>
        <w:spacing w:line="276" w:lineRule="auto"/>
        <w:rPr>
          <w:rFonts w:ascii="Gill Sans MT" w:hAnsi="Gill Sans MT" w:cs="Arial"/>
          <w:bCs/>
          <w:szCs w:val="19"/>
        </w:rPr>
      </w:pPr>
      <w:r w:rsidRPr="00C83A7D">
        <w:rPr>
          <w:rFonts w:ascii="Gill Sans MT" w:hAnsi="Gill Sans MT" w:cs="Arial"/>
          <w:bCs/>
          <w:szCs w:val="19"/>
        </w:rPr>
        <w:t>Lutz Holthaus – Copestone on behalf of CASE Construction Equipment</w:t>
      </w:r>
    </w:p>
    <w:p w14:paraId="0EF11EF4" w14:textId="77777777" w:rsidR="002D23D5" w:rsidRPr="00F525C8" w:rsidRDefault="002D23D5" w:rsidP="002D23D5">
      <w:pPr>
        <w:pStyle w:val="01TESTO"/>
        <w:spacing w:line="276" w:lineRule="auto"/>
        <w:rPr>
          <w:rFonts w:ascii="Gill Sans MT" w:hAnsi="Gill Sans MT" w:cs="Arial"/>
          <w:bCs/>
          <w:szCs w:val="19"/>
          <w:lang w:val="de-DE"/>
        </w:rPr>
      </w:pPr>
      <w:r w:rsidRPr="00F525C8">
        <w:rPr>
          <w:rFonts w:ascii="Gill Sans MT" w:hAnsi="Gill Sans MT" w:cs="Arial"/>
          <w:bCs/>
          <w:szCs w:val="19"/>
          <w:lang w:val="de-DE"/>
        </w:rPr>
        <w:t>+49 2392 913 465</w:t>
      </w:r>
    </w:p>
    <w:p w14:paraId="533D1F67" w14:textId="77777777" w:rsidR="002D23D5" w:rsidRPr="00F525C8" w:rsidRDefault="002D23D5" w:rsidP="002D23D5">
      <w:pPr>
        <w:pStyle w:val="01TESTO"/>
        <w:spacing w:line="276" w:lineRule="auto"/>
        <w:rPr>
          <w:rFonts w:ascii="Gill Sans MT" w:hAnsi="Gill Sans MT" w:cs="Arial"/>
          <w:bCs/>
          <w:szCs w:val="19"/>
          <w:lang w:val="de-DE"/>
        </w:rPr>
      </w:pPr>
      <w:hyperlink r:id="rId14" w:history="1">
        <w:r w:rsidRPr="00F525C8">
          <w:rPr>
            <w:rStyle w:val="Hyperlink"/>
            <w:rFonts w:ascii="Gill Sans MT" w:hAnsi="Gill Sans MT" w:cs="Arial"/>
            <w:bCs/>
            <w:szCs w:val="19"/>
            <w:lang w:val="de-DE"/>
          </w:rPr>
          <w:t>lutz@copestone.uk.com</w:t>
        </w:r>
      </w:hyperlink>
    </w:p>
    <w:p w14:paraId="412284C4" w14:textId="77777777" w:rsidR="00DF02B4" w:rsidRDefault="00DF02B4"/>
    <w:sectPr w:rsidR="00DF02B4">
      <w:headerReference w:type="even" r:id="rId15"/>
      <w:headerReference w:type="default" r:id="rId16"/>
      <w:footerReference w:type="even" r:id="rId17"/>
      <w:footerReference w:type="default" r:id="rId18"/>
      <w:headerReference w:type="first" r:id="rId19"/>
      <w:footerReference w:type="first" r:id="rId20"/>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740497" w14:textId="77777777" w:rsidR="00AB0E99" w:rsidRDefault="00AB0E99">
      <w:pPr>
        <w:spacing w:after="0" w:line="240" w:lineRule="auto"/>
      </w:pPr>
      <w:r>
        <w:separator/>
      </w:r>
    </w:p>
  </w:endnote>
  <w:endnote w:type="continuationSeparator" w:id="0">
    <w:p w14:paraId="2F029A67" w14:textId="77777777" w:rsidR="00AB0E99" w:rsidRDefault="00AB0E99">
      <w:pPr>
        <w:spacing w:after="0" w:line="240" w:lineRule="auto"/>
      </w:pPr>
      <w:r>
        <w:continuationSeparator/>
      </w:r>
    </w:p>
  </w:endnote>
  <w:endnote w:type="continuationNotice" w:id="1">
    <w:p w14:paraId="5E836C17" w14:textId="77777777" w:rsidR="00AB0E99" w:rsidRDefault="00AB0E9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NeueLT Std">
    <w:altName w:val="Arial"/>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28CFA2" w14:textId="77777777" w:rsidR="00ED3389" w:rsidRDefault="00ED33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F696D4" w14:textId="77777777" w:rsidR="00DF02B4" w:rsidRDefault="00DF02B4">
    <w:pPr>
      <w:pStyle w:val="Footer"/>
    </w:pPr>
  </w:p>
  <w:p w14:paraId="3904FF09" w14:textId="77777777" w:rsidR="00DF02B4" w:rsidRDefault="00DF02B4">
    <w:pPr>
      <w:pStyle w:val="Footer"/>
    </w:pPr>
  </w:p>
  <w:p w14:paraId="0FB8C2B5" w14:textId="77777777" w:rsidR="00DF02B4" w:rsidRDefault="00DF02B4">
    <w:pPr>
      <w:pStyle w:val="Footer"/>
    </w:pPr>
  </w:p>
  <w:p w14:paraId="3E124357" w14:textId="77777777" w:rsidR="00DF02B4" w:rsidRDefault="00DF02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1529E3" w14:textId="77777777" w:rsidR="00DF02B4" w:rsidRDefault="00DF02B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5FF7CA" w14:textId="77777777" w:rsidR="00AB0E99" w:rsidRDefault="00AB0E99">
      <w:pPr>
        <w:spacing w:after="0" w:line="240" w:lineRule="auto"/>
      </w:pPr>
      <w:r>
        <w:separator/>
      </w:r>
    </w:p>
  </w:footnote>
  <w:footnote w:type="continuationSeparator" w:id="0">
    <w:p w14:paraId="0C08A831" w14:textId="77777777" w:rsidR="00AB0E99" w:rsidRDefault="00AB0E99">
      <w:pPr>
        <w:spacing w:after="0" w:line="240" w:lineRule="auto"/>
      </w:pPr>
      <w:r>
        <w:continuationSeparator/>
      </w:r>
    </w:p>
  </w:footnote>
  <w:footnote w:type="continuationNotice" w:id="1">
    <w:p w14:paraId="19DDFC14" w14:textId="77777777" w:rsidR="00AB0E99" w:rsidRDefault="00AB0E9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76F97B" w14:textId="77777777" w:rsidR="00ED3389" w:rsidRDefault="00ED338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D8DC62" w14:textId="77777777" w:rsidR="00DF02B4" w:rsidRDefault="00BC1128">
    <w:r>
      <w:rPr>
        <w:noProof/>
        <w:lang w:val="it-IT" w:eastAsia="zh-CN"/>
      </w:rPr>
      <w:drawing>
        <wp:anchor distT="0" distB="0" distL="114300" distR="114300" simplePos="0" relativeHeight="251658244" behindDoc="1" locked="0" layoutInCell="1" allowOverlap="1" wp14:anchorId="227190F4" wp14:editId="79D295D6">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DF02B4" w14:paraId="73B08E65" w14:textId="77777777">
      <w:trPr>
        <w:trHeight w:val="735"/>
      </w:trPr>
      <w:tc>
        <w:tcPr>
          <w:tcW w:w="2614" w:type="dxa"/>
          <w:shd w:val="clear" w:color="auto" w:fill="auto"/>
          <w:vAlign w:val="bottom"/>
        </w:tcPr>
        <w:p w14:paraId="7EEE25A1" w14:textId="77777777" w:rsidR="00DF02B4" w:rsidRDefault="00DF02B4">
          <w:pPr>
            <w:pStyle w:val="04FOOTER"/>
            <w:ind w:right="-101"/>
          </w:pPr>
        </w:p>
      </w:tc>
      <w:tc>
        <w:tcPr>
          <w:tcW w:w="2835" w:type="dxa"/>
        </w:tcPr>
        <w:p w14:paraId="11267AFE" w14:textId="77777777" w:rsidR="00DF02B4" w:rsidRDefault="00DF02B4">
          <w:pPr>
            <w:pStyle w:val="04FOOTER"/>
            <w:ind w:right="-101"/>
          </w:pPr>
        </w:p>
        <w:p w14:paraId="0C490C29" w14:textId="77777777" w:rsidR="00DF02B4" w:rsidRDefault="00DF02B4">
          <w:pPr>
            <w:pStyle w:val="04FOOTER"/>
            <w:ind w:right="-101"/>
          </w:pPr>
        </w:p>
        <w:p w14:paraId="696448F9" w14:textId="77777777" w:rsidR="00DF02B4" w:rsidRDefault="00DF02B4">
          <w:pPr>
            <w:pStyle w:val="04FOOTER"/>
            <w:ind w:right="-101"/>
          </w:pPr>
        </w:p>
        <w:p w14:paraId="47506E9E" w14:textId="77777777" w:rsidR="00DF02B4" w:rsidRDefault="00DF02B4">
          <w:pPr>
            <w:pStyle w:val="04FOOTER"/>
            <w:ind w:right="-101"/>
          </w:pPr>
        </w:p>
      </w:tc>
    </w:tr>
  </w:tbl>
  <w:p w14:paraId="5753A137" w14:textId="77777777" w:rsidR="00DF02B4" w:rsidRDefault="00BC1128">
    <w:pPr>
      <w:rPr>
        <w:rFonts w:ascii="Times New Roman" w:hAnsi="Times New Roman"/>
        <w:snapToGrid w:val="0"/>
        <w:vanish/>
        <w:w w:val="0"/>
        <w:sz w:val="0"/>
        <w:szCs w:val="0"/>
        <w:u w:color="000000"/>
        <w:bdr w:val="none" w:sz="0" w:space="0" w:color="000000"/>
        <w:shd w:val="clear" w:color="000000" w:fill="000000"/>
        <w:lang w:eastAsia="x-none" w:bidi="x-none"/>
      </w:rPr>
    </w:pPr>
    <w:r>
      <w:rPr>
        <w:noProof/>
        <w:lang w:val="it-IT" w:eastAsia="zh-CN"/>
      </w:rPr>
      <w:drawing>
        <wp:anchor distT="0" distB="0" distL="114300" distR="114300" simplePos="0" relativeHeight="251658243" behindDoc="1" locked="0" layoutInCell="1" allowOverlap="1" wp14:anchorId="1ECB3199" wp14:editId="743A81FC">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58245" behindDoc="1" locked="0" layoutInCell="1" allowOverlap="1" wp14:anchorId="0399A4B9" wp14:editId="38511092">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5CA3CE" w14:textId="77777777" w:rsidR="00DF02B4" w:rsidRDefault="00BC1128">
    <w:r>
      <w:rPr>
        <w:noProof/>
        <w:lang w:val="it-IT" w:eastAsia="zh-CN"/>
      </w:rPr>
      <w:drawing>
        <wp:anchor distT="0" distB="0" distL="114300" distR="114300" simplePos="0" relativeHeight="251658242" behindDoc="1" locked="0" layoutInCell="1" allowOverlap="1" wp14:anchorId="18F56FD5" wp14:editId="1ACFFA19">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58241" behindDoc="0" locked="0" layoutInCell="1" allowOverlap="1" wp14:anchorId="37BA6201" wp14:editId="044EA0CD">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4FA1FC" id="Line 35" o:spid="_x0000_s1026" style="position:absolute;z-index:251658241;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from="-153.1pt,264.5pt" to="-99.1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" strokeweight=".11pt">
              <w10:wrap anchory="page"/>
            </v:line>
          </w:pict>
        </mc:Fallback>
      </mc:AlternateContent>
    </w:r>
    <w:r>
      <w:rPr>
        <w:noProof/>
        <w:lang w:val="it-IT" w:eastAsia="zh-CN"/>
      </w:rPr>
      <mc:AlternateContent>
        <mc:Choice Requires="wps">
          <w:drawing>
            <wp:anchor distT="4294967294" distB="4294967294" distL="114300" distR="114300" simplePos="0" relativeHeight="251658240" behindDoc="0" locked="0" layoutInCell="1" allowOverlap="1" wp14:anchorId="577B832E" wp14:editId="38646A15">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E59A0E" id="Line 34"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5pt,35.85pt" to="557.95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" strokeweight=".03739mm"/>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F97989"/>
    <w:multiLevelType w:val="hybridMultilevel"/>
    <w:tmpl w:val="C45A61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8021EA"/>
    <w:multiLevelType w:val="hybridMultilevel"/>
    <w:tmpl w:val="AC8C28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ACD38F3"/>
    <w:multiLevelType w:val="hybridMultilevel"/>
    <w:tmpl w:val="209681F2"/>
    <w:lvl w:ilvl="0" w:tplc="04090001">
      <w:start w:val="1"/>
      <w:numFmt w:val="bullet"/>
      <w:lvlText w:val=""/>
      <w:lvlJc w:val="left"/>
      <w:pPr>
        <w:ind w:left="828" w:hanging="360"/>
      </w:pPr>
      <w:rPr>
        <w:rFonts w:ascii="Symbol" w:hAnsi="Symbol" w:hint="default"/>
      </w:rPr>
    </w:lvl>
    <w:lvl w:ilvl="1" w:tplc="04090003">
      <w:start w:val="1"/>
      <w:numFmt w:val="bullet"/>
      <w:lvlText w:val="o"/>
      <w:lvlJc w:val="left"/>
      <w:pPr>
        <w:ind w:left="1548" w:hanging="360"/>
      </w:pPr>
      <w:rPr>
        <w:rFonts w:ascii="Courier New" w:hAnsi="Courier New" w:cs="Courier New" w:hint="default"/>
      </w:rPr>
    </w:lvl>
    <w:lvl w:ilvl="2" w:tplc="04090005">
      <w:start w:val="1"/>
      <w:numFmt w:val="bullet"/>
      <w:lvlText w:val=""/>
      <w:lvlJc w:val="left"/>
      <w:pPr>
        <w:ind w:left="2268" w:hanging="360"/>
      </w:pPr>
      <w:rPr>
        <w:rFonts w:ascii="Wingdings" w:hAnsi="Wingdings" w:hint="default"/>
      </w:rPr>
    </w:lvl>
    <w:lvl w:ilvl="3" w:tplc="04090001">
      <w:start w:val="1"/>
      <w:numFmt w:val="bullet"/>
      <w:lvlText w:val=""/>
      <w:lvlJc w:val="left"/>
      <w:pPr>
        <w:ind w:left="2988" w:hanging="360"/>
      </w:pPr>
      <w:rPr>
        <w:rFonts w:ascii="Symbol" w:hAnsi="Symbol" w:hint="default"/>
      </w:rPr>
    </w:lvl>
    <w:lvl w:ilvl="4" w:tplc="04090003">
      <w:start w:val="1"/>
      <w:numFmt w:val="bullet"/>
      <w:lvlText w:val="o"/>
      <w:lvlJc w:val="left"/>
      <w:pPr>
        <w:ind w:left="3708" w:hanging="360"/>
      </w:pPr>
      <w:rPr>
        <w:rFonts w:ascii="Courier New" w:hAnsi="Courier New" w:cs="Courier New" w:hint="default"/>
      </w:rPr>
    </w:lvl>
    <w:lvl w:ilvl="5" w:tplc="04090005">
      <w:start w:val="1"/>
      <w:numFmt w:val="bullet"/>
      <w:lvlText w:val=""/>
      <w:lvlJc w:val="left"/>
      <w:pPr>
        <w:ind w:left="4428" w:hanging="360"/>
      </w:pPr>
      <w:rPr>
        <w:rFonts w:ascii="Wingdings" w:hAnsi="Wingdings" w:hint="default"/>
      </w:rPr>
    </w:lvl>
    <w:lvl w:ilvl="6" w:tplc="04090001">
      <w:start w:val="1"/>
      <w:numFmt w:val="bullet"/>
      <w:lvlText w:val=""/>
      <w:lvlJc w:val="left"/>
      <w:pPr>
        <w:ind w:left="5148" w:hanging="360"/>
      </w:pPr>
      <w:rPr>
        <w:rFonts w:ascii="Symbol" w:hAnsi="Symbol" w:hint="default"/>
      </w:rPr>
    </w:lvl>
    <w:lvl w:ilvl="7" w:tplc="04090003">
      <w:start w:val="1"/>
      <w:numFmt w:val="bullet"/>
      <w:lvlText w:val="o"/>
      <w:lvlJc w:val="left"/>
      <w:pPr>
        <w:ind w:left="5868" w:hanging="360"/>
      </w:pPr>
      <w:rPr>
        <w:rFonts w:ascii="Courier New" w:hAnsi="Courier New" w:cs="Courier New" w:hint="default"/>
      </w:rPr>
    </w:lvl>
    <w:lvl w:ilvl="8" w:tplc="04090005">
      <w:start w:val="1"/>
      <w:numFmt w:val="bullet"/>
      <w:lvlText w:val=""/>
      <w:lvlJc w:val="left"/>
      <w:pPr>
        <w:ind w:left="6588" w:hanging="360"/>
      </w:pPr>
      <w:rPr>
        <w:rFonts w:ascii="Wingdings" w:hAnsi="Wingdings" w:hint="default"/>
      </w:rPr>
    </w:lvl>
  </w:abstractNum>
  <w:abstractNum w:abstractNumId="3" w15:restartNumberingAfterBreak="0">
    <w:nsid w:val="373C2F8F"/>
    <w:multiLevelType w:val="hybridMultilevel"/>
    <w:tmpl w:val="DB480500"/>
    <w:lvl w:ilvl="0" w:tplc="2F38E6F4">
      <w:numFmt w:val="bullet"/>
      <w:lvlText w:val="·"/>
      <w:lvlJc w:val="left"/>
      <w:pPr>
        <w:ind w:left="720" w:hanging="360"/>
      </w:pPr>
      <w:rPr>
        <w:rFonts w:ascii="Gill Sans MT" w:eastAsia="Times New Roman" w:hAnsi="Gill Sans MT"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B851EAC"/>
    <w:multiLevelType w:val="hybridMultilevel"/>
    <w:tmpl w:val="A6B4B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DF02B4"/>
    <w:rsid w:val="002D23D5"/>
    <w:rsid w:val="00560632"/>
    <w:rsid w:val="00857EFE"/>
    <w:rsid w:val="00AB0E99"/>
    <w:rsid w:val="00BC1128"/>
    <w:rsid w:val="00DF02B4"/>
    <w:rsid w:val="00ED33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55279F"/>
  <w15:chartTrackingRefBased/>
  <w15:docId w15:val="{212430F8-0B3E-48EB-A621-2FBF0A913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pPr>
      <w:tabs>
        <w:tab w:val="center" w:pos="4819"/>
        <w:tab w:val="right" w:pos="9638"/>
      </w:tabs>
      <w:spacing w:after="0" w:line="240" w:lineRule="auto"/>
    </w:pPr>
    <w:rPr>
      <w:rFonts w:eastAsiaTheme="minorEastAsia"/>
      <w:lang w:val="en-US" w:eastAsia="zh-CN"/>
    </w:rPr>
  </w:style>
  <w:style w:type="character" w:customStyle="1" w:styleId="FooterChar">
    <w:name w:val="Footer Char"/>
    <w:basedOn w:val="DefaultParagraphFont"/>
    <w:link w:val="Footer"/>
    <w:rPr>
      <w:rFonts w:eastAsiaTheme="minorEastAsia"/>
      <w:lang w:val="en-US" w:eastAsia="zh-CN"/>
    </w:rPr>
  </w:style>
  <w:style w:type="paragraph" w:customStyle="1" w:styleId="04FOOTER">
    <w:name w:val="04_FOOTER"/>
    <w:basedOn w:val="Normal"/>
    <w:pPr>
      <w:spacing w:after="0" w:line="160" w:lineRule="exact"/>
    </w:pPr>
    <w:rPr>
      <w:rFonts w:ascii="Arial" w:eastAsia="Times New Roman" w:hAnsi="Arial" w:cs="Times New Roman"/>
      <w:color w:val="000000"/>
      <w:sz w:val="14"/>
      <w:szCs w:val="20"/>
      <w:lang w:val="en-US" w:eastAsia="it-IT"/>
    </w:rPr>
  </w:style>
  <w:style w:type="character" w:styleId="Hyperlink">
    <w:name w:val="Hyperlink"/>
    <w:unhideWhenUsed/>
    <w:rPr>
      <w:color w:val="0000FF"/>
      <w:u w:val="single"/>
    </w:rPr>
  </w:style>
  <w:style w:type="character" w:customStyle="1" w:styleId="s17">
    <w:name w:val="s17"/>
    <w:basedOn w:val="DefaultParagraphFont"/>
  </w:style>
  <w:style w:type="paragraph" w:customStyle="1" w:styleId="01TESTO">
    <w:name w:val="01_TESTO"/>
    <w:basedOn w:val="Normal"/>
    <w:pPr>
      <w:spacing w:after="0" w:line="300" w:lineRule="exact"/>
    </w:pPr>
    <w:rPr>
      <w:rFonts w:ascii="Arial" w:eastAsia="Times New Roman" w:hAnsi="Arial" w:cs="Times New Roman"/>
      <w:color w:val="000000"/>
      <w:sz w:val="19"/>
      <w:szCs w:val="20"/>
      <w:lang w:val="en-US" w:eastAsia="it-IT"/>
    </w:rPr>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Pr>
      <w:rFonts w:ascii="Courier New" w:eastAsia="Times New Roman" w:hAnsi="Courier New" w:cs="Courier New"/>
      <w:sz w:val="20"/>
      <w:szCs w:val="20"/>
      <w:lang w:eastAsia="en-GB"/>
    </w:rPr>
  </w:style>
  <w:style w:type="paragraph" w:styleId="CommentText">
    <w:name w:val="annotation text"/>
    <w:basedOn w:val="Normal"/>
    <w:link w:val="CommentTextChar"/>
    <w:semiHidden/>
    <w:unhideWhenUsed/>
    <w:pPr>
      <w:spacing w:after="0" w:line="300" w:lineRule="exact"/>
    </w:pPr>
    <w:rPr>
      <w:rFonts w:ascii="Arial" w:eastAsia="Times New Roman" w:hAnsi="Arial" w:cs="Times New Roman"/>
      <w:color w:val="000000"/>
      <w:sz w:val="20"/>
      <w:szCs w:val="20"/>
      <w:lang w:val="it-IT" w:eastAsia="it-IT"/>
    </w:rPr>
  </w:style>
  <w:style w:type="character" w:customStyle="1" w:styleId="CommentTextChar">
    <w:name w:val="Comment Text Char"/>
    <w:basedOn w:val="DefaultParagraphFont"/>
    <w:link w:val="CommentText"/>
    <w:semiHidden/>
    <w:rPr>
      <w:rFonts w:ascii="Arial" w:eastAsia="Times New Roman" w:hAnsi="Arial" w:cs="Times New Roman"/>
      <w:color w:val="000000"/>
      <w:sz w:val="20"/>
      <w:szCs w:val="20"/>
      <w:lang w:val="it-IT" w:eastAsia="it-IT"/>
    </w:rPr>
  </w:style>
  <w:style w:type="paragraph" w:styleId="ListParagraph">
    <w:name w:val="List Paragraph"/>
    <w:basedOn w:val="Normal"/>
    <w:uiPriority w:val="34"/>
    <w:qFormat/>
    <w:pPr>
      <w:spacing w:after="0" w:line="240" w:lineRule="auto"/>
      <w:ind w:left="720"/>
      <w:contextualSpacing/>
    </w:pPr>
    <w:rPr>
      <w:rFonts w:ascii="Calibri" w:eastAsia="Calibri" w:hAnsi="Calibri" w:cs="Times New Roman"/>
      <w:lang w:val="en-US"/>
    </w:rPr>
  </w:style>
  <w:style w:type="character" w:styleId="CommentReference">
    <w:name w:val="annotation reference"/>
    <w:semiHidden/>
    <w:unhideWhenUsed/>
    <w:rPr>
      <w:sz w:val="16"/>
      <w:szCs w:val="16"/>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table" w:styleId="TableGrid">
    <w:name w:val="Table Grid"/>
    <w:aliases w:val="PIEDINO"/>
    <w:basedOn w:val="TableNormal"/>
    <w:uiPriority w:val="59"/>
    <w:pPr>
      <w:spacing w:after="0" w:line="160" w:lineRule="exact"/>
    </w:pPr>
    <w:rPr>
      <w:rFonts w:ascii="Arial" w:eastAsia="Times New Roman" w:hAnsi="Arial" w:cs="Times New Roman"/>
      <w:color w:val="000000"/>
      <w:sz w:val="15"/>
      <w:szCs w:val="20"/>
      <w:lang w:val="en-US"/>
    </w:rPr>
    <w:tblPr>
      <w:tblInd w:w="0" w:type="nil"/>
      <w:tblCellMar>
        <w:left w:w="0" w:type="dxa"/>
        <w:right w:w="0" w:type="dxa"/>
      </w:tblCellMar>
    </w:tblPr>
    <w:tcPr>
      <w:vAlign w:val="bottom"/>
    </w:tcPr>
  </w:style>
  <w:style w:type="character" w:styleId="UnresolvedMention">
    <w:name w:val="Unresolved Mention"/>
    <w:basedOn w:val="DefaultParagraphFont"/>
    <w:uiPriority w:val="99"/>
    <w:semiHidden/>
    <w:unhideWhenUsed/>
    <w:rPr>
      <w:color w:val="605E5C"/>
      <w:shd w:val="clear" w:color="auto" w:fill="E1DFDD"/>
    </w:rPr>
  </w:style>
  <w:style w:type="paragraph" w:styleId="CommentSubject">
    <w:name w:val="annotation subject"/>
    <w:basedOn w:val="CommentText"/>
    <w:next w:val="CommentText"/>
    <w:link w:val="CommentSubjectChar"/>
    <w:uiPriority w:val="99"/>
    <w:semiHidden/>
    <w:unhideWhenUsed/>
    <w:pPr>
      <w:spacing w:after="160" w:line="240" w:lineRule="auto"/>
    </w:pPr>
    <w:rPr>
      <w:rFonts w:asciiTheme="minorHAnsi" w:eastAsiaTheme="minorHAnsi" w:hAnsiTheme="minorHAnsi" w:cstheme="minorBidi"/>
      <w:b/>
      <w:bCs/>
      <w:color w:val="auto"/>
      <w:lang w:val="en-GB" w:eastAsia="en-US"/>
    </w:rPr>
  </w:style>
  <w:style w:type="character" w:customStyle="1" w:styleId="CommentSubjectChar">
    <w:name w:val="Comment Subject Char"/>
    <w:basedOn w:val="CommentTextChar"/>
    <w:link w:val="CommentSubject"/>
    <w:uiPriority w:val="99"/>
    <w:semiHidden/>
    <w:rPr>
      <w:rFonts w:ascii="Arial" w:eastAsia="Times New Roman" w:hAnsi="Arial" w:cs="Times New Roman"/>
      <w:b/>
      <w:bCs/>
      <w:color w:val="000000"/>
      <w:sz w:val="20"/>
      <w:szCs w:val="20"/>
      <w:lang w:val="it-IT" w:eastAsia="it-IT"/>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pPr>
      <w:tabs>
        <w:tab w:val="center" w:pos="4513"/>
        <w:tab w:val="right" w:pos="9026"/>
      </w:tabs>
      <w:spacing w:after="0" w:line="240" w:lineRule="auto"/>
    </w:pPr>
  </w:style>
  <w:style w:type="character" w:customStyle="1" w:styleId="HeaderChar">
    <w:name w:val="Header Char"/>
    <w:basedOn w:val="DefaultParagraphFont"/>
    <w:link w:val="Header"/>
    <w:uiPriority w:val="99"/>
  </w:style>
  <w:style w:type="paragraph" w:styleId="Revision">
    <w:name w:val="Revision"/>
    <w:hidden/>
    <w:uiPriority w:val="99"/>
    <w:semiHidden/>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564163">
      <w:bodyDiv w:val="1"/>
      <w:marLeft w:val="0"/>
      <w:marRight w:val="0"/>
      <w:marTop w:val="0"/>
      <w:marBottom w:val="0"/>
      <w:divBdr>
        <w:top w:val="none" w:sz="0" w:space="0" w:color="auto"/>
        <w:left w:val="none" w:sz="0" w:space="0" w:color="auto"/>
        <w:bottom w:val="none" w:sz="0" w:space="0" w:color="auto"/>
        <w:right w:val="none" w:sz="0" w:space="0" w:color="auto"/>
      </w:divBdr>
    </w:div>
    <w:div w:id="672996339">
      <w:bodyDiv w:val="1"/>
      <w:marLeft w:val="0"/>
      <w:marRight w:val="0"/>
      <w:marTop w:val="0"/>
      <w:marBottom w:val="0"/>
      <w:divBdr>
        <w:top w:val="none" w:sz="0" w:space="0" w:color="auto"/>
        <w:left w:val="none" w:sz="0" w:space="0" w:color="auto"/>
        <w:bottom w:val="none" w:sz="0" w:space="0" w:color="auto"/>
        <w:right w:val="none" w:sz="0" w:space="0" w:color="auto"/>
      </w:divBdr>
    </w:div>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 w:id="2143770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file:///C:\Users\User\Dropbox\Nuria\AppData\Local\Microsoft\Windows\Temporary%20Internet%20Files\Content.Outlook\3POTRISZ\www.cnhindustrial.com"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www.Casece.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asecetools.com/press-kit"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lutz@copestone.uk.com"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4" ma:contentTypeDescription="Create a new document." ma:contentTypeScope="" ma:versionID="e411935fe6e02e14326f6bbef1c9843e">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25f21176b4c354939e5f67e820659fe3"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documentManagement>
</p:properties>
</file>

<file path=customXml/item4.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Props1.xml><?xml version="1.0" encoding="utf-8"?>
<ds:datastoreItem xmlns:ds="http://schemas.openxmlformats.org/officeDocument/2006/customXml" ds:itemID="{FABAB2CF-EE7B-4C63-AA10-472E19F7CB30}">
  <ds:schemaRefs>
    <ds:schemaRef ds:uri="http://schemas.microsoft.com/sharepoint/v3/contenttype/forms"/>
  </ds:schemaRefs>
</ds:datastoreItem>
</file>

<file path=customXml/itemProps2.xml><?xml version="1.0" encoding="utf-8"?>
<ds:datastoreItem xmlns:ds="http://schemas.openxmlformats.org/officeDocument/2006/customXml" ds:itemID="{17DA05AC-9667-4FC9-85A9-158879A96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E11D36A-66B4-4CC0-A05A-CEB7BA3DF9CD}">
  <ds:schemaRefs>
    <ds:schemaRef ds:uri="http://schemas.microsoft.com/office/2006/metadata/properties"/>
    <ds:schemaRef ds:uri="http://schemas.microsoft.com/office/infopath/2007/PartnerControls"/>
    <ds:schemaRef ds:uri="ae82bc55-adb9-499f-a89d-8cc34ff9b62e"/>
  </ds:schemaRefs>
</ds:datastoreItem>
</file>

<file path=customXml/itemProps4.xml><?xml version="1.0" encoding="utf-8"?>
<ds:datastoreItem xmlns:ds="http://schemas.openxmlformats.org/officeDocument/2006/customXml" ds:itemID="{17C594D4-7E07-448B-B3A4-3012F6959538}">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624</Words>
  <Characters>3559</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4175</CharactersWithSpaces>
  <SharedDoc>false</SharedDoc>
  <HLinks>
    <vt:vector size="24" baseType="variant">
      <vt:variant>
        <vt:i4>6160445</vt:i4>
      </vt:variant>
      <vt:variant>
        <vt:i4>9</vt:i4>
      </vt:variant>
      <vt:variant>
        <vt:i4>0</vt:i4>
      </vt:variant>
      <vt:variant>
        <vt:i4>5</vt:i4>
      </vt:variant>
      <vt:variant>
        <vt:lpwstr>mailto:chris@copestone.uk.com</vt:lpwstr>
      </vt:variant>
      <vt:variant>
        <vt:lpwstr/>
      </vt:variant>
      <vt:variant>
        <vt:i4>4456466</vt:i4>
      </vt:variant>
      <vt:variant>
        <vt:i4>6</vt:i4>
      </vt:variant>
      <vt:variant>
        <vt:i4>0</vt:i4>
      </vt:variant>
      <vt:variant>
        <vt:i4>5</vt:i4>
      </vt:variant>
      <vt:variant>
        <vt:lpwstr>http://www.cnhindustrial.com/</vt:lpwstr>
      </vt:variant>
      <vt:variant>
        <vt:lpwstr/>
      </vt:variant>
      <vt:variant>
        <vt:i4>3539007</vt:i4>
      </vt:variant>
      <vt:variant>
        <vt:i4>3</vt:i4>
      </vt:variant>
      <vt:variant>
        <vt:i4>0</vt:i4>
      </vt:variant>
      <vt:variant>
        <vt:i4>5</vt:i4>
      </vt:variant>
      <vt:variant>
        <vt:lpwstr>http://www.casece.com/</vt:lpwstr>
      </vt:variant>
      <vt:variant>
        <vt:lpwstr/>
      </vt:variant>
      <vt:variant>
        <vt:i4>4653081</vt:i4>
      </vt:variant>
      <vt:variant>
        <vt:i4>0</vt:i4>
      </vt:variant>
      <vt:variant>
        <vt:i4>0</vt:i4>
      </vt:variant>
      <vt:variant>
        <vt:i4>5</vt:i4>
      </vt:variant>
      <vt:variant>
        <vt:lpwstr>http://www.casecetools.com/press-kit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Mike Doggwiler</cp:lastModifiedBy>
  <cp:revision>3</cp:revision>
  <dcterms:created xsi:type="dcterms:W3CDTF">2021-11-11T13:01:00Z</dcterms:created>
  <dcterms:modified xsi:type="dcterms:W3CDTF">2021-11-11T14:47:00Z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y fmtid="{D5CDD505-2E9C-101B-9397-08002B2CF9AE}" pid="3" name="docIndexRef">
    <vt:lpwstr>a9e00915-8854-4088-8185-1ba13e686d1a</vt:lpwstr>
  </property>
  <property fmtid="{D5CDD505-2E9C-101B-9397-08002B2CF9AE}" pid="4" name="bjSaver">
    <vt:lpwstr>nLyR4HS08U+6cYA5FRcj+CcI+JUHzUNm</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uid="4ecbf47d-2ec6-497d-85fc-f65b66e62fe7" value="" /&gt;&lt;element uid="588104ae-2895-48f0-94e0-4417fcf0f7f0"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UH050,11.11.2021 14:01:29,GENERAL BUSINESS</vt:lpwstr>
  </property>
</Properties>
</file>