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1737C" w14:textId="77777777" w:rsidR="00064A79" w:rsidRPr="00064A79" w:rsidRDefault="00064A79" w:rsidP="00B8793D">
      <w:pPr>
        <w:pStyle w:val="NormalWeb"/>
        <w:jc w:val="center"/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</w:pPr>
      <w:bookmarkStart w:id="0" w:name="_Hlk78806994"/>
      <w:bookmarkStart w:id="1" w:name="_Hlk510438457"/>
      <w:r w:rsidRPr="00064A79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t>Firma CASE ogłasza wprowadzenie nowych modeli minikoparek serii D, które zapewniają niedoścignioną zwinność i uniwersalność, dając się zoptymalizować do każdego zastosowania</w:t>
      </w:r>
    </w:p>
    <w:p w14:paraId="2D282315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i/>
          <w:i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i/>
          <w:iCs/>
          <w:color w:val="000000"/>
          <w:sz w:val="22"/>
          <w:lang w:val="pl-PL" w:eastAsia="pl-PL"/>
        </w:rPr>
        <w:t xml:space="preserve">Turyn, 5 maja 2022 roku </w:t>
      </w:r>
    </w:p>
    <w:p w14:paraId="77D69798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CASE Construction Equipment ogłosiła dziś wprowadzenie w Europie, nowych minikoparek serii D, która obejmie 20 modeli, od 1-tonowego po 6-tonowy, w tym maszyny z napędem elektrycznym. W ramach nowej serii maszyn, które stanowią odpowiedź na wszelkie potrzeby klienta, każda nowa minikoparka będzie wyposażona w najnowsze technologię, funkcje i osprzęt dostępne na wszystkich rynkach oraz dla wszystkich zastosowań.</w:t>
      </w:r>
    </w:p>
    <w:p w14:paraId="7E82A08B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Atrakcyjność tej rodziny uniwersalnych, zwinnych i czołowych na rynku maszyn dodatkowo zwiększają ich niezawodność, możliwości serwisowania, zmaksymalizowany czas pracy bez przestojów oraz wydajność i dochodowość dla klienta. Ponadto minikoparki serii D marki CASE, przeznaczone na rynek europejski są produkowane w specjalnie przystosowanych zakładach we Włoszech, co zapewnia synergię innowacji, technologii, doświadczenia i procesu produkcyjnego, będące także rezultatem przejęcia Sampierana przez CNH Industrial w 2021 roku. </w:t>
      </w:r>
    </w:p>
    <w:p w14:paraId="7455FE49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„Minikoparki należą do segmentu rynku o dużym wzroście i odpowiadają za niemal połowę sprzedawanych w Europie maszyn. CASE zareagowała na zapotrzebowanie klientów, oferując całą rodzinę 20 minikoparek serii D o masie od 1 do 6 ton, w tym modele z napędem elektrycznym (1- 3-tonowe)”, jak podaje Egidio Galano, dyrektor, Construction Equipment Product Management Europe, CNH Industrial. „Dzięki temu, że zakłady produkcyjne znajdują się we Włoszech, wspierając cały rynek europejski, możemy z dumą prowadzić produkcję tam, gdzie sprzedajemy maszyny. Produkcja na terenie Europy umożliwi transport pierwszych maszyn serii D do lokalizacji klienta od trzeciego kwartału 2022 roku”.</w:t>
      </w:r>
    </w:p>
    <w:p w14:paraId="22093839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Dwa modele elektryczne, dostępne od pierwszego kwartału 2023 roku, mieszczą się w zakresie maszyn 1-3-tonowych, dzięki czemu mogą wspierać klientów działających w miejscach, gdzie występują rygorystyczne środki kontroli emisji, takich jak tereny miejskie. </w:t>
      </w:r>
    </w:p>
    <w:p w14:paraId="56BEA65E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t xml:space="preserve">20 modeli oferujących jedno elastyczne rozwiązanie jako odpowiedź na wszystkie wyzwania klientów </w:t>
      </w:r>
    </w:p>
    <w:p w14:paraId="6B013ECF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„Główną zaletą takiej kompleksowej serii maszyn jest jej uniwersalność, dostosowanie do wszelkich potrzeb klientów, bez względu na lokalizację docelową, ograniczony w niej dostęp czy rodzaj wymaganych elementów osprzętu”, kontynuuje Galano.</w:t>
      </w:r>
    </w:p>
    <w:p w14:paraId="29D38329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Dalej wyjaśnia: Modele, na które jest największe zapotrzebowanie w Europie, to maszyny 1-3-tonowe oraz 5-6-tonowe, zaś w naszej ofercie znajduje się 15 modeli o takich parametrach. </w:t>
      </w:r>
    </w:p>
    <w:p w14:paraId="325B8E64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Uniwersalność, elastyczność i zwinność są dodatkowo wzmocnione innymi cechami minikoparek serii D, takimi jak konstrukcja ZTS (dająca nieograniczone możliwości obrotu) oraz wysięgniki dwuczęściowe dostępne we wszystkich modelach, szybkozłącza hydrauliczne i mechaniczne oraz modele napędzane elektrycznie, które mogą pracować w strefach nisko- lub zeroemisyjnych.</w:t>
      </w:r>
    </w:p>
    <w:p w14:paraId="7D726BA4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lastRenderedPageBreak/>
        <w:t xml:space="preserve">Maszyny zoptymalizowane do setek zastosowań dzięki wiodącej w branży technologii </w:t>
      </w:r>
    </w:p>
    <w:p w14:paraId="29986033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Aby wspierać klientów, wszystkie modele minikoparek serii D obejmują nowe, zaawansowane funkcje, bazujące na czołowej technologii. Użytkownicy mogą personalizować każdą maszynę zgodnie z zastosowaniem, wybierając od konfiguracji podstawowej po modele premium, tj. z wieloma funkcjami.</w:t>
      </w:r>
    </w:p>
    <w:p w14:paraId="55AF547A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Oprócz 20 różnych rozmiarów maszyn można wybrać do trzech obwodów dodatkowych z elektro-hydraulicznymi elementami sterowania, a także rozmaite szybkozłącza hydrauliczne i mechaniczne. Dzięki takiemu rozwiązaniu możliwy jest wybór spośród niezliczonych elementów osprzętu, takich jak łyżki, kruszarki czy kosiarki bijakowe. </w:t>
      </w:r>
    </w:p>
    <w:p w14:paraId="42489EE4" w14:textId="7D536755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Znana z kompaktowych wymiarów konstrukcja typu ZTS charakteryzuje całą </w:t>
      </w:r>
      <w:r w:rsidR="00D221FF" w:rsidRPr="00D221FF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serię </w:t>
      </w: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minikoparek, zapewniając ich najwyższą zwinność. Korzystając z takiej maszyny wyposażonej dodatkowo w wysięgnik dwuczęściowy, operatorzy mogą pracować na większych wysokościach i sięgając maszyną dalej niż w przypadku zwykłych wysięgników jednoczęściowych. Mogą także kopać głębiej i bliżej maszyny w miejscach o ograniczonej przestrzeni. Zwiększający wydajność wysięgnik dwuczęściowy jest dostępny dla całej serii, w tym dla modelu 2-tonowego, 4,5-tonowego i 5,5-tonowego, po raz pierwszy w branży.</w:t>
      </w:r>
    </w:p>
    <w:p w14:paraId="7C57812D" w14:textId="36158E94" w:rsidR="001E5DB3" w:rsidRDefault="00CC1983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CC1983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Dodatkowe wysoce zaawansowane funkcje dostępne we wszystkich modelach to elektro-hydrauliczne elementy sterowania, konfiguracje obwodów hydraulicznych, sterowana elektronicznie pompa hydrauliczna z wykrywaniem obciążenia oraz zawory sterujące z kompensacją. </w:t>
      </w:r>
    </w:p>
    <w:p w14:paraId="007428AD" w14:textId="724FD97D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CX15EV to pierwszy z modeli elektrycznych, który został zaprezentowany na targach CNH Industrial Capital w lutym 2022 roku. Dostępna w sprzedaży od 1. kwartału 2023 roku, ta 1,3-tonowa maszyna posiada 16 kW silnik elektryczny z 21,5 kW akumulatorem, który można naładować w ciągu niespełna dwóch godzin, używając szybkiej ładowarki zewnętrznej, tak aby ograniczyć czas przestojów do minimum. Oznacza to, że klienci mogą zmaksymalizować zarówno wydajność, jak i poziom kontroli emisji. </w:t>
      </w:r>
    </w:p>
    <w:p w14:paraId="03491EBD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t xml:space="preserve">Koncentracja na komforcie operatora, która poprawia wydajność i bezpieczeństwo </w:t>
      </w:r>
    </w:p>
    <w:p w14:paraId="272CDA62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Operatorzy odniosą korzyści z wielu funkcji, które zwiększają wydajność i bezpieczeństwo, takich jak automatyczna klimatyzacja i ogrzewanie czy szybkozłącze, które umożliwia szybką zmianę osprzętu przez operatora na terenie robót. Personalizowane elektro-hydrauliczne elementy sterowania oraz elektroniczna tablica przyrządów z ustawieniami obwodu dodatkowego AUX1, AUX2 i AUX3 zapewniają operatorom wysoki stopień dostosowania maszyny do własnych metod pracy i kontroli nad przepływem zadań.</w:t>
      </w:r>
    </w:p>
    <w:p w14:paraId="7EC29688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Światła robocze na wysięgniku, na pokrywie z przodu po prawej stronie oraz z przodu kabiny, oświetlenie w kabinie, wygodny fotel z opcjonalnym zawieszeniem pneumatycznym, ogrzewanie, a także dodatkowe dźwignie sterowania pneumatycznego to wszystko elementy opracowane z myślą o komforcie i bezpieczeństwie operatora. Opcjonalne funkcje zabezpieczające przed kradzieżą, kamera cofania oraz dodatkowe światła robocze z tyłu kabiny zwiększają spokój użytkownika. </w:t>
      </w:r>
    </w:p>
    <w:p w14:paraId="0A15E86B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lastRenderedPageBreak/>
        <w:t xml:space="preserve">I wreszcie, opcjonalne radio DAB, technologia Bluetooth, port USB, obsługa kart pamięci SD/SDHC i dodatkowe złącze AUX-IN podkreślają wysoki komfort maszyny. </w:t>
      </w:r>
    </w:p>
    <w:p w14:paraId="0581F644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t>Zmaksymalizowany okres eksploatacji i większy spokój użytkownika dzięki pakietowi usług CASE® Service Solutions</w:t>
      </w: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 </w:t>
      </w:r>
    </w:p>
    <w:p w14:paraId="65D13451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Dla dodatkowego zwiększenia elastyczności, wydajności i dochodowości oraz wydłużenia czasu eksploatacji atrakcyjnej serii minikoparek D, CASE oferuje szereg powiązanych i oddzielnych usług posprzedażowych CASE Service Solutions, które wspierają klientów w korzystaniu ze sprzętu CASE. </w:t>
      </w:r>
    </w:p>
    <w:p w14:paraId="25D0E84F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Menedżerowie floty pojazdów mogą korzystać z geolokalizacji, zabezpieczeń floty z technologią geofence, alertów o nieupoważnionym użyciu oraz elastycznych raportów w kompleksowym narzędziu zarządzania flotą CASE SiteWatchTM. To potężne narzędzie obejmuje kluczowe wskaźniki wydajności (KPI), takie jak zużycie paliwa, stopień wykorzystania, godziny robocze oraz czas przestojów, dzięki czemu można monitorować i maksymalizować wydajność i dochodowość sprzętu. Dostęp do danych jest ułatwiony dzięki portalowi internetowemu.</w:t>
      </w:r>
    </w:p>
    <w:p w14:paraId="5A6CF338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CASE SiteConnect ulepsza dane telemetryczne wykorzystywane przez zespół Uptime Center firmy CASE, aby przekazywać dealerom ostrzeżenia w oparciu o osiągi maszyny. Dzięki temu można podejmować szybkie działanie korygujące, ograniczające przestoje do minimum – wówczas dealerzy uzyskują zdalny dostęp do danych maszyny, reagując na problemy szybciej. Dealerzy mogą zatem proaktywnie zarządzać maszynami klientów, dbając o ich ciągłą dostępność. Zarówno platforma SiteWatch, jak i SiteConnect jest dostępna dla nowych minikoparek D wprowadzanych od 2023 roku.</w:t>
      </w:r>
    </w:p>
    <w:p w14:paraId="20BB80FD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Aby dodatkowo zwiększyć elastyczność, wydajność i dochodowość oraz wydłużyć czas pracy bez przestojów nowej serii minikoparek D, CASE utworzyła zestawy serwisowe Service Maintenance Kit dla wszystkich modeli.</w:t>
      </w:r>
    </w:p>
    <w:p w14:paraId="545034FD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„CASE Service Solutions utrzymuje sprzęt naszych klientów w najlepszym stanie technicznym, zapewniając jego maksymalną dostępność, bez nieoczekiwanych kosztów, a przy tym dbając o naszą maksymalną dochodowość”, podkreśla Peter Garry, dyrektor, Europe Construction Parts and Service. „Podstawowe rozwiązania są dostępne teraz, planujemy także wdrożyć CASE Service Solutions w całej Europie dla wszystkich maszyn, gdy tylko staną się one dostępne”.</w:t>
      </w:r>
    </w:p>
    <w:p w14:paraId="240DA7E7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t>Doświadcz korzyści z nowych minikoparek serii D podczas wydarzeń dla klientów</w:t>
      </w:r>
    </w:p>
    <w:p w14:paraId="3AEF022A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Aby w pełni poznać korzyści, jakie oferują nowe maszyny w praktyce, wszyscy klienci CASE oraz media są zaproszeni na wydarzenia, które odbędą się w maju i czerwcu, kiedy to będzie można wypróbować i kupić maszyny: </w:t>
      </w:r>
    </w:p>
    <w:p w14:paraId="7E32D667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•</w:t>
      </w: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ab/>
        <w:t>Ettringen, Niemcy: 14-15 maja</w:t>
      </w:r>
    </w:p>
    <w:p w14:paraId="7F5822C1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•</w:t>
      </w: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ab/>
        <w:t>Calenzano (Florencja), Włochy: 27-28 maja</w:t>
      </w:r>
    </w:p>
    <w:p w14:paraId="733A3155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lastRenderedPageBreak/>
        <w:t>•</w:t>
      </w: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ab/>
        <w:t>Quilly (Nantes), Francja: 8-9 czerwca</w:t>
      </w:r>
    </w:p>
    <w:p w14:paraId="42ED9E08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Pełne szczegóły można uzyskać na stronie CASE:</w:t>
      </w:r>
    </w:p>
    <w:p w14:paraId="30D4742C" w14:textId="77777777" w:rsidR="00064A79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 xml:space="preserve">https://www.casepromotion.com/roadshow/ </w:t>
      </w:r>
    </w:p>
    <w:p w14:paraId="7A10AFB6" w14:textId="6179789A" w:rsidR="000E5D92" w:rsidRPr="00064A79" w:rsidRDefault="00064A79" w:rsidP="00064A79">
      <w:pPr>
        <w:pStyle w:val="NormalWeb"/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</w:pPr>
      <w:r w:rsidRPr="00064A79">
        <w:rPr>
          <w:rStyle w:val="HeaderChar"/>
          <w:rFonts w:ascii="Gill Sans MT" w:eastAsiaTheme="minorEastAsia" w:hAnsi="Gill Sans MT"/>
          <w:bCs/>
          <w:color w:val="000000"/>
          <w:sz w:val="22"/>
          <w:lang w:val="pl-PL" w:eastAsia="pl-PL"/>
        </w:rPr>
        <w:t>Oprócz oglądania i testowania maszyn, odwiedzający mogą korzystać ze statycznych wystaw i gier rodeo, które demonstrują zwinność i elastyczność nowych modeli. Nowe minikoparki serii D można także obejrzeć podczas targów Hillhead 2022 w Wielkiej Brytanii, w dniach 21-23 czerwca.</w:t>
      </w:r>
    </w:p>
    <w:p w14:paraId="3326E53D" w14:textId="21F2A0CD" w:rsidR="00FF0AEB" w:rsidRPr="00064A79" w:rsidRDefault="00FF0AEB" w:rsidP="00FF0AEB">
      <w:pPr>
        <w:pStyle w:val="NormalWeb"/>
        <w:jc w:val="center"/>
        <w:rPr>
          <w:rFonts w:ascii="Gill Sans MT" w:hAnsi="Gill Sans MT"/>
          <w:color w:val="000000"/>
          <w:sz w:val="22"/>
          <w:szCs w:val="22"/>
          <w:lang w:val="pl-PL"/>
        </w:rPr>
      </w:pPr>
      <w:r w:rsidRPr="00064A79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t>KONIEC</w:t>
      </w:r>
    </w:p>
    <w:p w14:paraId="76351525" w14:textId="743D9579" w:rsidR="00FF0AEB" w:rsidRPr="00064A79" w:rsidRDefault="00FF0AEB" w:rsidP="00FF0AEB">
      <w:pPr>
        <w:rPr>
          <w:rFonts w:ascii="Gill Sans MT" w:hAnsi="Gill Sans MT" w:cs="Arial"/>
          <w:b/>
          <w:sz w:val="19"/>
          <w:szCs w:val="19"/>
          <w:lang w:val="pl-PL"/>
        </w:rPr>
      </w:pPr>
      <w:r w:rsidRPr="00064A79">
        <w:rPr>
          <w:rFonts w:ascii="Gill Sans MT" w:hAnsi="Gill Sans MT"/>
          <w:b/>
          <w:sz w:val="19"/>
          <w:lang w:val="pl-PL" w:eastAsia="pl-PL"/>
        </w:rPr>
        <w:t xml:space="preserve">Uwagi dla </w:t>
      </w:r>
      <w:r w:rsidR="00AA220B" w:rsidRPr="00064A79">
        <w:rPr>
          <w:rFonts w:ascii="Gill Sans MT" w:hAnsi="Gill Sans MT"/>
          <w:b/>
          <w:sz w:val="19"/>
          <w:lang w:val="pl-PL" w:eastAsia="pl-PL"/>
        </w:rPr>
        <w:t>R</w:t>
      </w:r>
      <w:r w:rsidRPr="00064A79">
        <w:rPr>
          <w:rFonts w:ascii="Gill Sans MT" w:hAnsi="Gill Sans MT"/>
          <w:b/>
          <w:sz w:val="19"/>
          <w:lang w:val="pl-PL" w:eastAsia="pl-PL"/>
        </w:rPr>
        <w:t>edaktorów:</w:t>
      </w:r>
    </w:p>
    <w:bookmarkEnd w:id="0"/>
    <w:p w14:paraId="152C5FDF" w14:textId="77777777" w:rsidR="00064A79" w:rsidRPr="00064A79" w:rsidRDefault="00064A79" w:rsidP="00064A79">
      <w:pPr>
        <w:rPr>
          <w:rFonts w:ascii="Gill Sans MT" w:hAnsi="Gill Sans MT"/>
          <w:sz w:val="19"/>
          <w:szCs w:val="19"/>
          <w:lang w:val="pl-PL"/>
        </w:rPr>
      </w:pPr>
      <w:r w:rsidRPr="00064A79">
        <w:rPr>
          <w:rFonts w:ascii="Gill Sans MT" w:hAnsi="Gill Sans MT"/>
          <w:sz w:val="19"/>
          <w:szCs w:val="19"/>
          <w:lang w:val="pl-PL"/>
        </w:rPr>
        <w:t>Nowe funkcje i korzyści dotyczące 20 modeli minikoparek serii D marki CASE to m.in.:</w:t>
      </w:r>
    </w:p>
    <w:p w14:paraId="6266A24F" w14:textId="77777777" w:rsidR="00064A79" w:rsidRPr="00064A79" w:rsidRDefault="00064A79" w:rsidP="00064A79">
      <w:pPr>
        <w:rPr>
          <w:rFonts w:ascii="Gill Sans MT" w:hAnsi="Gill Sans MT"/>
          <w:sz w:val="19"/>
          <w:szCs w:val="19"/>
          <w:lang w:val="pl-PL"/>
        </w:rPr>
      </w:pPr>
      <w:r w:rsidRPr="00064A79">
        <w:rPr>
          <w:rFonts w:ascii="Gill Sans MT" w:hAnsi="Gill Sans MT"/>
          <w:b/>
          <w:bCs/>
          <w:sz w:val="19"/>
          <w:szCs w:val="19"/>
          <w:lang w:val="pl-PL"/>
        </w:rPr>
        <w:t xml:space="preserve">Uniwersalność, zwinność i elastyczność: </w:t>
      </w:r>
      <w:r w:rsidRPr="00064A79">
        <w:rPr>
          <w:rFonts w:ascii="Gill Sans MT" w:hAnsi="Gill Sans MT"/>
          <w:sz w:val="19"/>
          <w:szCs w:val="19"/>
          <w:lang w:val="pl-PL"/>
        </w:rPr>
        <w:t xml:space="preserve">20 modeli, od 1,2-tonowych po 6,2-tonowe, z wysięgnikiem dwuczęściowym, konstrukcją ZTS oraz krótkim promieniem skrętu dostępnymi w standardzie dla modeli 2- do 6-tonowych, w tym wyjątkowo w modelach 2-tonowych, dzięki czemu seria D maszyn może pracować w dowolnych warunkach, spełniając wszelkie potrzeby klientów. </w:t>
      </w:r>
    </w:p>
    <w:p w14:paraId="166DA8AA" w14:textId="77777777" w:rsidR="00064A79" w:rsidRPr="00064A79" w:rsidRDefault="00064A79" w:rsidP="00064A79">
      <w:pPr>
        <w:rPr>
          <w:rFonts w:ascii="Gill Sans MT" w:hAnsi="Gill Sans MT"/>
          <w:sz w:val="19"/>
          <w:szCs w:val="19"/>
          <w:lang w:val="pl-PL"/>
        </w:rPr>
      </w:pPr>
      <w:r w:rsidRPr="00064A79">
        <w:rPr>
          <w:rFonts w:ascii="Gill Sans MT" w:hAnsi="Gill Sans MT"/>
          <w:b/>
          <w:bCs/>
          <w:sz w:val="19"/>
          <w:szCs w:val="19"/>
          <w:lang w:val="pl-PL"/>
        </w:rPr>
        <w:t xml:space="preserve">Wydajność, zrównoważony charakter, możliwości serwisowania i całkowity koszt posiadania (TCO): </w:t>
      </w:r>
      <w:r w:rsidRPr="00064A79">
        <w:rPr>
          <w:rFonts w:ascii="Gill Sans MT" w:hAnsi="Gill Sans MT"/>
          <w:sz w:val="19"/>
          <w:szCs w:val="19"/>
          <w:lang w:val="pl-PL"/>
        </w:rPr>
        <w:t xml:space="preserve">Proporcjonalne sterowanie prędkością obrotową silnika z funkcją automatycznego wyboru biegu jałowego dla zwiększenia oszczędności paliwa, pochylana kabina (konstrukcja ROP/TOPS - FOPS poz. 1), dwukierunkowy wentylator hydrauliczny z funkcją automatycznej obsługi, elektryczna pompa tankowania paliwa z funkcją automatycznego wyłączania. Dodatkowa technologia zabezpieczająca przed kradzieżą dla ochrony inwestycji. </w:t>
      </w:r>
    </w:p>
    <w:p w14:paraId="07EC2DD2" w14:textId="77777777" w:rsidR="00064A79" w:rsidRPr="00064A79" w:rsidRDefault="00064A79" w:rsidP="00064A79">
      <w:pPr>
        <w:rPr>
          <w:rFonts w:ascii="Gill Sans MT" w:hAnsi="Gill Sans MT"/>
          <w:sz w:val="19"/>
          <w:szCs w:val="19"/>
          <w:lang w:val="pl-PL"/>
        </w:rPr>
      </w:pPr>
      <w:r w:rsidRPr="00064A79">
        <w:rPr>
          <w:rFonts w:ascii="Gill Sans MT" w:hAnsi="Gill Sans MT"/>
          <w:b/>
          <w:bCs/>
          <w:sz w:val="19"/>
          <w:szCs w:val="19"/>
          <w:lang w:val="pl-PL"/>
        </w:rPr>
        <w:t>Możliwość personalizacji zwiększającej wydajność i dochodowość maszyn:</w:t>
      </w:r>
      <w:r w:rsidRPr="00064A79">
        <w:rPr>
          <w:rFonts w:ascii="Gill Sans MT" w:hAnsi="Gill Sans MT"/>
          <w:sz w:val="19"/>
          <w:szCs w:val="19"/>
          <w:lang w:val="pl-PL"/>
        </w:rPr>
        <w:t xml:space="preserve"> Biodegradowalne oleje hydrauliczne i smary, centralny układ smarowania automatycznego z wysokim przepływem dla takiego osprzętu, jak kosiarki bijakowe, oraz opcjonalne szybkozłącze hydrauliczne jedno- i dwukierunkowe, a także standardowe szybkozłącza hydrauliczne i mechaniczne. Dostępny szereg elementów osprzętu dla każdego zastosowania. </w:t>
      </w:r>
    </w:p>
    <w:p w14:paraId="0AA67D47" w14:textId="77777777" w:rsidR="00064A79" w:rsidRPr="00064A79" w:rsidRDefault="00064A79" w:rsidP="00064A79">
      <w:pPr>
        <w:rPr>
          <w:rFonts w:ascii="Gill Sans MT" w:hAnsi="Gill Sans MT"/>
          <w:sz w:val="19"/>
          <w:szCs w:val="19"/>
          <w:lang w:val="pl-PL"/>
        </w:rPr>
      </w:pPr>
      <w:r w:rsidRPr="00064A79">
        <w:rPr>
          <w:rFonts w:ascii="Gill Sans MT" w:hAnsi="Gill Sans MT"/>
          <w:b/>
          <w:bCs/>
          <w:sz w:val="19"/>
          <w:szCs w:val="19"/>
          <w:lang w:val="pl-PL"/>
        </w:rPr>
        <w:t>Ulepszenie wydajności poprzez zwiększone komfort, bezpieczeństwo i możliwości sterowania operatora:</w:t>
      </w:r>
      <w:r w:rsidRPr="00064A79">
        <w:rPr>
          <w:rFonts w:ascii="Gill Sans MT" w:hAnsi="Gill Sans MT"/>
          <w:sz w:val="19"/>
          <w:szCs w:val="19"/>
          <w:lang w:val="pl-PL"/>
        </w:rPr>
        <w:t xml:space="preserve"> Automatyczny układ klimatyzacji i ogrzewania, automatyczne oświetlenie w kabinie, standardowe światła robocze LED (na wysięgniku, na pokrywie z przodu po prawej stronie i z przodu kabiny), a także dodatkowe światła robocze LED (z tyłu kabiny) oraz kamera cofania. Wygodny fotel z opcjonalnym zawieszeniem pneumatycznym oraz ogrzewaniem, a także dźwignie sterowania pneumatycznego. Elektroniczna tablica przyrządów z konfiguracjami przepływu obwodu dodatkowego AUX1, AUX2 i AUX3, która pozwala dostosować maszynę do metod pracy operatora. I wreszcie, operatorzy mogą bezpiecznie korzystać z komunikacji i rozrywki w kabinie dzięki dodatkowym radiu DAB, technologii Bluetooth, portowi USB, obsłudze kart pamięci SD/SDHC i złączu AUX-IN.</w:t>
      </w:r>
    </w:p>
    <w:p w14:paraId="1294CF24" w14:textId="77777777" w:rsidR="00212D54" w:rsidRPr="00064A79" w:rsidRDefault="00212D54" w:rsidP="00094788">
      <w:pPr>
        <w:pStyle w:val="HTMLPreformatted"/>
        <w:shd w:val="clear" w:color="auto" w:fill="FFFFFF"/>
        <w:rPr>
          <w:rFonts w:ascii="Gill Sans MT" w:hAnsi="Gill Sans MT" w:cs="Arial"/>
          <w:sz w:val="19"/>
          <w:szCs w:val="19"/>
          <w:lang w:val="pl-PL"/>
        </w:rPr>
      </w:pPr>
    </w:p>
    <w:p w14:paraId="01BE7D82" w14:textId="4A28997B" w:rsidR="00094788" w:rsidRPr="00064A79" w:rsidRDefault="00430AE6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  <w:r w:rsidRPr="00064A79">
        <w:rPr>
          <w:rFonts w:ascii="Gill Sans MT" w:hAnsi="Gill Sans MT" w:cs="Arial"/>
          <w:sz w:val="19"/>
          <w:szCs w:val="19"/>
          <w:lang w:val="pl-PL"/>
        </w:rPr>
        <w:t>Odwiedź naszą stronę internetową, aby pobrać pliki tekstowe, wideo i graficzne w wysokiej rozdzielczości (JPG 300 DPI, CMYK) oraz inne informacje prasowe CASE</w:t>
      </w:r>
      <w:r w:rsidR="00094788" w:rsidRPr="00064A79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: </w:t>
      </w:r>
      <w:hyperlink r:id="rId12" w:history="1">
        <w:r w:rsidR="00094788" w:rsidRPr="00064A79">
          <w:rPr>
            <w:rStyle w:val="Hyperlink"/>
            <w:rFonts w:ascii="Gill Sans MT" w:hAnsi="Gill Sans MT" w:cs="Arial"/>
            <w:sz w:val="19"/>
            <w:szCs w:val="19"/>
            <w:lang w:val="pl-PL"/>
          </w:rPr>
          <w:t>www.casecetools.com/press-kit</w:t>
        </w:r>
      </w:hyperlink>
      <w:r w:rsidR="00094788" w:rsidRPr="00064A79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 </w:t>
      </w:r>
    </w:p>
    <w:p w14:paraId="1A11E346" w14:textId="267C9511" w:rsidR="00A27749" w:rsidRPr="00064A79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</w:p>
    <w:p w14:paraId="146F73D6" w14:textId="51006E28" w:rsidR="00A27749" w:rsidRPr="00064A79" w:rsidRDefault="00430AE6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  <w:bookmarkStart w:id="2" w:name="_Hlk527712544"/>
      <w:r w:rsidRPr="00064A79">
        <w:rPr>
          <w:rFonts w:ascii="Gill Sans MT" w:hAnsi="Gill Sans MT" w:cs="Arial"/>
          <w:color w:val="212121"/>
          <w:sz w:val="19"/>
          <w:szCs w:val="19"/>
          <w:lang w:val="pl-PL"/>
        </w:rPr>
        <w:t>Obserwuj CASE’a poprzez</w:t>
      </w:r>
      <w:r w:rsidR="00A27749" w:rsidRPr="00064A79">
        <w:rPr>
          <w:rFonts w:ascii="Gill Sans MT" w:hAnsi="Gill Sans MT" w:cs="Arial"/>
          <w:color w:val="212121"/>
          <w:sz w:val="19"/>
          <w:szCs w:val="19"/>
          <w:lang w:val="pl-PL"/>
        </w:rPr>
        <w:t>:</w:t>
      </w:r>
    </w:p>
    <w:p w14:paraId="42993AFB" w14:textId="77777777" w:rsidR="00A27749" w:rsidRPr="00064A79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</w:p>
    <w:p w14:paraId="03E1A68B" w14:textId="16DEE183" w:rsidR="00094788" w:rsidRPr="00064A79" w:rsidRDefault="00A27749" w:rsidP="00A27749">
      <w:pPr>
        <w:rPr>
          <w:rFonts w:ascii="Gill Sans MT" w:eastAsia="Calibri" w:hAnsi="Gill Sans MT"/>
          <w:lang w:val="pl-PL"/>
        </w:rPr>
      </w:pPr>
      <w:bookmarkStart w:id="3" w:name="_Hlk527712055"/>
      <w:r w:rsidRPr="00064A79">
        <w:rPr>
          <w:noProof/>
          <w:lang w:val="pl-PL" w:eastAsia="pl-PL"/>
        </w:rPr>
        <w:drawing>
          <wp:inline distT="0" distB="0" distL="0" distR="0" wp14:anchorId="2E0DA63E" wp14:editId="339331E8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4A79">
        <w:rPr>
          <w:rFonts w:ascii="Gill Sans MT" w:eastAsia="Calibri" w:hAnsi="Gill Sans MT"/>
          <w:lang w:val="pl-PL" w:eastAsia="it-IT"/>
        </w:rPr>
        <w:t xml:space="preserve">   </w:t>
      </w:r>
      <w:r w:rsidRPr="00064A79">
        <w:rPr>
          <w:noProof/>
          <w:lang w:val="pl-PL" w:eastAsia="pl-PL"/>
        </w:rPr>
        <w:drawing>
          <wp:inline distT="0" distB="0" distL="0" distR="0" wp14:anchorId="5172AF14" wp14:editId="4A4436D8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4A79">
        <w:rPr>
          <w:rFonts w:ascii="Gill Sans MT" w:eastAsia="Calibri" w:hAnsi="Gill Sans MT"/>
          <w:lang w:val="pl-PL" w:eastAsia="it-IT"/>
        </w:rPr>
        <w:t xml:space="preserve"> </w:t>
      </w:r>
      <w:r w:rsidRPr="00064A79">
        <w:rPr>
          <w:rFonts w:ascii="Gill Sans MT" w:eastAsia="Calibri" w:hAnsi="Gill Sans MT"/>
          <w:lang w:val="pl-PL"/>
        </w:rPr>
        <w:t xml:space="preserve">  </w:t>
      </w:r>
      <w:r w:rsidRPr="00064A79">
        <w:rPr>
          <w:noProof/>
          <w:lang w:val="pl-PL" w:eastAsia="pl-PL"/>
        </w:rPr>
        <w:drawing>
          <wp:inline distT="0" distB="0" distL="0" distR="0" wp14:anchorId="794159BC" wp14:editId="5A06778C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4A79">
        <w:rPr>
          <w:rFonts w:ascii="Gill Sans MT" w:eastAsia="Calibri" w:hAnsi="Gill Sans MT"/>
          <w:lang w:val="pl-PL"/>
        </w:rPr>
        <w:t xml:space="preserve">   </w:t>
      </w:r>
      <w:r w:rsidRPr="00064A79">
        <w:rPr>
          <w:noProof/>
          <w:lang w:val="pl-PL" w:eastAsia="pl-PL"/>
        </w:rPr>
        <w:drawing>
          <wp:inline distT="0" distB="0" distL="0" distR="0" wp14:anchorId="70CBCFCB" wp14:editId="1B8DACE8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2"/>
    <w:bookmarkEnd w:id="3"/>
    <w:p w14:paraId="6CB68A8B" w14:textId="0EAAD763" w:rsidR="00094788" w:rsidRPr="00064A79" w:rsidRDefault="00094788" w:rsidP="00094788">
      <w:pPr>
        <w:jc w:val="both"/>
        <w:rPr>
          <w:rFonts w:ascii="Gill Sans MT" w:hAnsi="Gill Sans MT" w:cs="Arial"/>
          <w:i/>
          <w:sz w:val="16"/>
          <w:szCs w:val="16"/>
          <w:lang w:val="pl-PL"/>
        </w:rPr>
      </w:pPr>
      <w:r w:rsidRPr="00064A79">
        <w:rPr>
          <w:rFonts w:ascii="Gill Sans MT" w:hAnsi="Gill Sans MT" w:cs="Arial"/>
          <w:i/>
          <w:sz w:val="16"/>
          <w:szCs w:val="16"/>
          <w:lang w:val="pl-PL"/>
        </w:rPr>
        <w:lastRenderedPageBreak/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r:id="rId21" w:history="1">
        <w:r w:rsidRPr="00064A79">
          <w:rPr>
            <w:rStyle w:val="Hyperlink"/>
            <w:rFonts w:ascii="Gill Sans MT" w:hAnsi="Gill Sans MT" w:cs="Arial"/>
            <w:i/>
            <w:sz w:val="16"/>
            <w:szCs w:val="16"/>
            <w:lang w:val="pl-PL"/>
          </w:rPr>
          <w:t>www.CASEce.com</w:t>
        </w:r>
      </w:hyperlink>
      <w:r w:rsidRPr="00064A79">
        <w:rPr>
          <w:rFonts w:ascii="Gill Sans MT" w:hAnsi="Gill Sans MT" w:cs="Arial"/>
          <w:i/>
          <w:sz w:val="16"/>
          <w:szCs w:val="16"/>
          <w:lang w:val="pl-PL"/>
        </w:rPr>
        <w:t>.</w:t>
      </w:r>
    </w:p>
    <w:p w14:paraId="179DAE80" w14:textId="50134780" w:rsidR="00094788" w:rsidRPr="00064A79" w:rsidRDefault="00094788" w:rsidP="003330ED">
      <w:pPr>
        <w:jc w:val="both"/>
        <w:rPr>
          <w:rFonts w:ascii="Gill Sans MT" w:hAnsi="Gill Sans MT" w:cs="Arial"/>
          <w:i/>
          <w:sz w:val="16"/>
          <w:szCs w:val="16"/>
          <w:lang w:val="pl-PL"/>
        </w:rPr>
      </w:pPr>
      <w:r w:rsidRPr="00064A79">
        <w:rPr>
          <w:rFonts w:ascii="Gill Sans MT" w:hAnsi="Gill Sans MT" w:cs="Arial"/>
          <w:i/>
          <w:sz w:val="16"/>
          <w:szCs w:val="16"/>
          <w:lang w:val="pl-PL"/>
        </w:rPr>
        <w:t xml:space="preserve">CASE Construction Equipment is a brand of CNH Industrial N.V., a World leader in Capital Goods listed on the New York Stock Exchange (NYSE: CNHI) and on the Mercato Telematico Azionario of the Borsa Italiana (MI: CNHI). More information about CNH Industrial can be found online at </w:t>
      </w:r>
      <w:hyperlink r:id="rId22" w:history="1">
        <w:r w:rsidRPr="00064A79">
          <w:rPr>
            <w:rStyle w:val="Hyperlink"/>
            <w:rFonts w:ascii="Gill Sans MT" w:hAnsi="Gill Sans MT" w:cs="Arial"/>
            <w:i/>
            <w:sz w:val="16"/>
            <w:szCs w:val="16"/>
            <w:lang w:val="pl-PL"/>
          </w:rPr>
          <w:t>www.cnhindustrial.com</w:t>
        </w:r>
      </w:hyperlink>
      <w:r w:rsidRPr="00064A79">
        <w:rPr>
          <w:rStyle w:val="Hyperlink"/>
          <w:rFonts w:ascii="Gill Sans MT" w:hAnsi="Gill Sans MT" w:cs="Arial"/>
          <w:lang w:val="pl-PL"/>
        </w:rPr>
        <w:t>.</w:t>
      </w:r>
    </w:p>
    <w:p w14:paraId="173C1655" w14:textId="7601A114" w:rsidR="00094788" w:rsidRPr="00064A79" w:rsidRDefault="00094788" w:rsidP="009666D1">
      <w:pPr>
        <w:pStyle w:val="01TESTO"/>
        <w:rPr>
          <w:rFonts w:ascii="Gill Sans MT" w:hAnsi="Gill Sans MT" w:cs="Arial"/>
          <w:b/>
          <w:szCs w:val="19"/>
          <w:lang w:val="pl-PL"/>
        </w:rPr>
      </w:pPr>
      <w:r w:rsidRPr="00064A79">
        <w:rPr>
          <w:rFonts w:ascii="Gill Sans MT" w:hAnsi="Gill Sans MT" w:cs="Arial"/>
          <w:b/>
          <w:szCs w:val="19"/>
          <w:lang w:val="pl-PL"/>
        </w:rPr>
        <w:t>For more information contact:</w:t>
      </w:r>
    </w:p>
    <w:p w14:paraId="77316656" w14:textId="3E1F1166" w:rsidR="00094788" w:rsidRPr="00064A79" w:rsidRDefault="00A87F46" w:rsidP="4CB130A3">
      <w:pPr>
        <w:spacing w:after="0" w:line="240" w:lineRule="auto"/>
        <w:rPr>
          <w:rFonts w:ascii="Gill Sans MT" w:hAnsi="Gill Sans MT" w:cs="Arial"/>
          <w:sz w:val="19"/>
          <w:szCs w:val="19"/>
          <w:lang w:val="pl-PL" w:eastAsia="es-ES"/>
        </w:rPr>
      </w:pPr>
      <w:r w:rsidRPr="00064A79">
        <w:rPr>
          <w:rFonts w:ascii="Gill Sans MT" w:hAnsi="Gill Sans MT" w:cs="Arial"/>
          <w:sz w:val="19"/>
          <w:szCs w:val="19"/>
          <w:lang w:val="pl-PL" w:eastAsia="es-ES"/>
        </w:rPr>
        <w:t>Mike Doggwiler</w:t>
      </w:r>
      <w:r w:rsidR="00094788" w:rsidRPr="00064A79">
        <w:rPr>
          <w:rFonts w:ascii="Gill Sans MT" w:hAnsi="Gill Sans MT" w:cs="Arial"/>
          <w:sz w:val="19"/>
          <w:szCs w:val="19"/>
          <w:lang w:val="pl-PL" w:eastAsia="es-ES"/>
        </w:rPr>
        <w:t xml:space="preserve"> – Copestone on behalf of CASE Construction Equipment</w:t>
      </w:r>
    </w:p>
    <w:p w14:paraId="6F941F18" w14:textId="5EFD9C7B" w:rsidR="00094788" w:rsidRPr="00064A79" w:rsidRDefault="0000666D" w:rsidP="009666D1">
      <w:pPr>
        <w:spacing w:after="0" w:line="240" w:lineRule="auto"/>
        <w:rPr>
          <w:lang w:val="pl-PL"/>
        </w:rPr>
      </w:pPr>
      <w:r w:rsidRPr="00064A79">
        <w:rPr>
          <w:rFonts w:ascii="Gill Sans MT" w:hAnsi="Gill Sans MT"/>
          <w:color w:val="333333"/>
          <w:sz w:val="19"/>
          <w:szCs w:val="19"/>
          <w:lang w:val="pl-PL" w:eastAsia="en-GB"/>
        </w:rPr>
        <w:t>+44 (0) 7</w:t>
      </w:r>
      <w:r w:rsidR="00A87F46" w:rsidRPr="00064A79">
        <w:rPr>
          <w:rFonts w:ascii="Gill Sans MT" w:hAnsi="Gill Sans MT"/>
          <w:color w:val="333333"/>
          <w:sz w:val="19"/>
          <w:szCs w:val="19"/>
          <w:lang w:val="pl-PL" w:eastAsia="en-GB"/>
        </w:rPr>
        <w:t>802 196766</w:t>
      </w:r>
    </w:p>
    <w:p w14:paraId="025AEF8B" w14:textId="0D23729C" w:rsidR="0000666D" w:rsidRPr="00064A79" w:rsidRDefault="00793335" w:rsidP="009666D1">
      <w:pPr>
        <w:spacing w:after="0" w:line="240" w:lineRule="auto"/>
        <w:rPr>
          <w:rFonts w:ascii="Gill Sans MT" w:hAnsi="Gill Sans MT" w:cs="Arial"/>
          <w:sz w:val="19"/>
          <w:szCs w:val="19"/>
          <w:lang w:val="pl-PL"/>
        </w:rPr>
      </w:pPr>
      <w:hyperlink r:id="rId23" w:history="1">
        <w:r w:rsidR="00A87F46" w:rsidRPr="00064A79">
          <w:rPr>
            <w:rStyle w:val="Hyperlink"/>
            <w:rFonts w:ascii="Gill Sans MT" w:hAnsi="Gill Sans MT"/>
            <w:sz w:val="19"/>
            <w:szCs w:val="19"/>
            <w:lang w:val="pl-PL"/>
          </w:rPr>
          <w:t>mike@copestone.uk.com</w:t>
        </w:r>
      </w:hyperlink>
      <w:r w:rsidR="0000666D" w:rsidRPr="00064A79">
        <w:rPr>
          <w:rFonts w:ascii="Gill Sans MT" w:hAnsi="Gill Sans MT"/>
          <w:sz w:val="19"/>
          <w:szCs w:val="19"/>
          <w:lang w:val="pl-PL"/>
        </w:rPr>
        <w:t xml:space="preserve"> </w:t>
      </w:r>
    </w:p>
    <w:p w14:paraId="62A9E366" w14:textId="77777777" w:rsidR="003452F5" w:rsidRPr="00064A79" w:rsidRDefault="003452F5">
      <w:pPr>
        <w:rPr>
          <w:lang w:val="pl-PL"/>
        </w:rPr>
      </w:pPr>
    </w:p>
    <w:sectPr w:rsidR="003452F5" w:rsidRPr="00064A79" w:rsidSect="006941EF">
      <w:headerReference w:type="default" r:id="rId24"/>
      <w:footerReference w:type="default" r:id="rId25"/>
      <w:headerReference w:type="first" r:id="rId26"/>
      <w:footerReference w:type="first" r:id="rId27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591A8" w14:textId="77777777" w:rsidR="00793335" w:rsidRDefault="00793335">
      <w:pPr>
        <w:spacing w:after="0" w:line="240" w:lineRule="auto"/>
      </w:pPr>
      <w:r>
        <w:separator/>
      </w:r>
    </w:p>
  </w:endnote>
  <w:endnote w:type="continuationSeparator" w:id="0">
    <w:p w14:paraId="72248B1E" w14:textId="77777777" w:rsidR="00793335" w:rsidRDefault="00793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AC28" w14:textId="77777777" w:rsidR="00C11491" w:rsidRDefault="00793335" w:rsidP="00842584">
    <w:pPr>
      <w:pStyle w:val="Footer"/>
    </w:pPr>
  </w:p>
  <w:p w14:paraId="31F029F6" w14:textId="77777777" w:rsidR="00C11491" w:rsidRDefault="00793335" w:rsidP="00842584">
    <w:pPr>
      <w:pStyle w:val="Footer"/>
    </w:pPr>
  </w:p>
  <w:p w14:paraId="65869B61" w14:textId="77777777" w:rsidR="00C11491" w:rsidRDefault="00793335" w:rsidP="00842584">
    <w:pPr>
      <w:pStyle w:val="Footer"/>
    </w:pPr>
  </w:p>
  <w:p w14:paraId="7803D058" w14:textId="77777777" w:rsidR="00C11491" w:rsidRDefault="00793335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77985" w14:textId="77777777" w:rsidR="00C11491" w:rsidRPr="00C7201A" w:rsidRDefault="00793335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E1BB3" w14:textId="77777777" w:rsidR="00793335" w:rsidRDefault="00793335">
      <w:pPr>
        <w:spacing w:after="0" w:line="240" w:lineRule="auto"/>
      </w:pPr>
      <w:r>
        <w:separator/>
      </w:r>
    </w:p>
  </w:footnote>
  <w:footnote w:type="continuationSeparator" w:id="0">
    <w:p w14:paraId="31757DCB" w14:textId="77777777" w:rsidR="00793335" w:rsidRDefault="007933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80C34" w14:textId="77777777" w:rsidR="00C11491" w:rsidRDefault="007A2771" w:rsidP="00842584">
    <w:r>
      <w:rPr>
        <w:noProof/>
        <w:lang w:val="pl-PL" w:eastAsia="pl-PL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793335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793335" w:rsidP="00842584">
          <w:pPr>
            <w:pStyle w:val="04FOOTER"/>
            <w:ind w:right="-101"/>
          </w:pPr>
        </w:p>
        <w:p w14:paraId="16DF71E2" w14:textId="77777777" w:rsidR="00C11491" w:rsidRDefault="00793335" w:rsidP="00842584">
          <w:pPr>
            <w:pStyle w:val="04FOOTER"/>
            <w:ind w:right="-101"/>
          </w:pPr>
        </w:p>
        <w:p w14:paraId="1520B835" w14:textId="77777777" w:rsidR="00C11491" w:rsidRDefault="00793335" w:rsidP="00842584">
          <w:pPr>
            <w:pStyle w:val="04FOOTER"/>
            <w:ind w:right="-101"/>
          </w:pPr>
        </w:p>
        <w:p w14:paraId="23477936" w14:textId="77777777" w:rsidR="00C11491" w:rsidRPr="00293E17" w:rsidRDefault="00793335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pl-PL" w:eastAsia="pl-PL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224136DA" w:rsidR="00C11491" w:rsidRDefault="007A2771" w:rsidP="00842584">
    <w:r>
      <w:rPr>
        <w:noProof/>
        <w:lang w:val="pl-PL" w:eastAsia="pl-PL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0C316240"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51C2E4C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373C2F8F"/>
    <w:multiLevelType w:val="hybridMultilevel"/>
    <w:tmpl w:val="DB480500"/>
    <w:lvl w:ilvl="0" w:tplc="2F38E6F4">
      <w:numFmt w:val="bullet"/>
      <w:lvlText w:val="·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51EAC"/>
    <w:multiLevelType w:val="hybridMultilevel"/>
    <w:tmpl w:val="A6B4BE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126791"/>
    <w:multiLevelType w:val="hybridMultilevel"/>
    <w:tmpl w:val="CA48A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894256">
    <w:abstractNumId w:val="0"/>
  </w:num>
  <w:num w:numId="2" w16cid:durableId="1686638163">
    <w:abstractNumId w:val="2"/>
  </w:num>
  <w:num w:numId="3" w16cid:durableId="853955566">
    <w:abstractNumId w:val="1"/>
  </w:num>
  <w:num w:numId="4" w16cid:durableId="17884233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17D8"/>
    <w:rsid w:val="00004252"/>
    <w:rsid w:val="00005A25"/>
    <w:rsid w:val="0000666D"/>
    <w:rsid w:val="00017229"/>
    <w:rsid w:val="000234E5"/>
    <w:rsid w:val="0003170A"/>
    <w:rsid w:val="00034AD8"/>
    <w:rsid w:val="000500AE"/>
    <w:rsid w:val="00050F6D"/>
    <w:rsid w:val="000537A5"/>
    <w:rsid w:val="00055E29"/>
    <w:rsid w:val="000601F5"/>
    <w:rsid w:val="0006181E"/>
    <w:rsid w:val="00064A79"/>
    <w:rsid w:val="00065A1E"/>
    <w:rsid w:val="00066F7B"/>
    <w:rsid w:val="0007586C"/>
    <w:rsid w:val="00077099"/>
    <w:rsid w:val="000870D4"/>
    <w:rsid w:val="000876FC"/>
    <w:rsid w:val="00094788"/>
    <w:rsid w:val="0009729E"/>
    <w:rsid w:val="000A468C"/>
    <w:rsid w:val="000B3FDA"/>
    <w:rsid w:val="000C10FE"/>
    <w:rsid w:val="000D27EC"/>
    <w:rsid w:val="000D7413"/>
    <w:rsid w:val="000D7C89"/>
    <w:rsid w:val="000E15D3"/>
    <w:rsid w:val="000E5488"/>
    <w:rsid w:val="000E5D92"/>
    <w:rsid w:val="000F0FF3"/>
    <w:rsid w:val="00103596"/>
    <w:rsid w:val="00105240"/>
    <w:rsid w:val="001077FD"/>
    <w:rsid w:val="001134B1"/>
    <w:rsid w:val="001135FD"/>
    <w:rsid w:val="001317AB"/>
    <w:rsid w:val="00135008"/>
    <w:rsid w:val="00153CD2"/>
    <w:rsid w:val="001769E5"/>
    <w:rsid w:val="00183EC6"/>
    <w:rsid w:val="00194C4E"/>
    <w:rsid w:val="001C4A63"/>
    <w:rsid w:val="001D75C1"/>
    <w:rsid w:val="001E5DB3"/>
    <w:rsid w:val="00205DCC"/>
    <w:rsid w:val="0021067E"/>
    <w:rsid w:val="00212D54"/>
    <w:rsid w:val="00234643"/>
    <w:rsid w:val="00245F36"/>
    <w:rsid w:val="00253B63"/>
    <w:rsid w:val="00255182"/>
    <w:rsid w:val="002579C0"/>
    <w:rsid w:val="00264095"/>
    <w:rsid w:val="002845BD"/>
    <w:rsid w:val="00285BDE"/>
    <w:rsid w:val="00286A87"/>
    <w:rsid w:val="002938D4"/>
    <w:rsid w:val="002B1B2D"/>
    <w:rsid w:val="002C3D5E"/>
    <w:rsid w:val="002D252D"/>
    <w:rsid w:val="002E6D45"/>
    <w:rsid w:val="002F42D9"/>
    <w:rsid w:val="002F5E89"/>
    <w:rsid w:val="0030227C"/>
    <w:rsid w:val="00306B10"/>
    <w:rsid w:val="00314047"/>
    <w:rsid w:val="0031651F"/>
    <w:rsid w:val="00320DE7"/>
    <w:rsid w:val="003237DC"/>
    <w:rsid w:val="003248E0"/>
    <w:rsid w:val="003330ED"/>
    <w:rsid w:val="00341AFE"/>
    <w:rsid w:val="003452F5"/>
    <w:rsid w:val="00354682"/>
    <w:rsid w:val="00363D20"/>
    <w:rsid w:val="00367677"/>
    <w:rsid w:val="00395CBC"/>
    <w:rsid w:val="003A4FF4"/>
    <w:rsid w:val="003A67FB"/>
    <w:rsid w:val="003B407B"/>
    <w:rsid w:val="003C055D"/>
    <w:rsid w:val="003F0F64"/>
    <w:rsid w:val="003F10F8"/>
    <w:rsid w:val="003F14E6"/>
    <w:rsid w:val="003F688C"/>
    <w:rsid w:val="003F6F09"/>
    <w:rsid w:val="00405EDE"/>
    <w:rsid w:val="00406B7E"/>
    <w:rsid w:val="00412D8C"/>
    <w:rsid w:val="004216D0"/>
    <w:rsid w:val="00430AE6"/>
    <w:rsid w:val="00434126"/>
    <w:rsid w:val="00450D08"/>
    <w:rsid w:val="00454649"/>
    <w:rsid w:val="004677E5"/>
    <w:rsid w:val="0048184E"/>
    <w:rsid w:val="00481EFE"/>
    <w:rsid w:val="004903F1"/>
    <w:rsid w:val="004A308A"/>
    <w:rsid w:val="004A4736"/>
    <w:rsid w:val="004C2CFC"/>
    <w:rsid w:val="004C6FC9"/>
    <w:rsid w:val="004D2E68"/>
    <w:rsid w:val="004E33F6"/>
    <w:rsid w:val="004E3CC8"/>
    <w:rsid w:val="004F7A9B"/>
    <w:rsid w:val="005027BB"/>
    <w:rsid w:val="00504CD6"/>
    <w:rsid w:val="0050527F"/>
    <w:rsid w:val="00506A56"/>
    <w:rsid w:val="005112DF"/>
    <w:rsid w:val="005117E6"/>
    <w:rsid w:val="00512136"/>
    <w:rsid w:val="005200FF"/>
    <w:rsid w:val="00526D34"/>
    <w:rsid w:val="00527AE2"/>
    <w:rsid w:val="005373DC"/>
    <w:rsid w:val="00541839"/>
    <w:rsid w:val="005441AD"/>
    <w:rsid w:val="00545B42"/>
    <w:rsid w:val="00547A99"/>
    <w:rsid w:val="0055178F"/>
    <w:rsid w:val="00557D0A"/>
    <w:rsid w:val="00582CEC"/>
    <w:rsid w:val="0058425E"/>
    <w:rsid w:val="00585023"/>
    <w:rsid w:val="0058693E"/>
    <w:rsid w:val="0059177B"/>
    <w:rsid w:val="005942E3"/>
    <w:rsid w:val="005A256E"/>
    <w:rsid w:val="005B4AD3"/>
    <w:rsid w:val="005C072F"/>
    <w:rsid w:val="005C41F4"/>
    <w:rsid w:val="005D2EE4"/>
    <w:rsid w:val="005D6E1A"/>
    <w:rsid w:val="005F6730"/>
    <w:rsid w:val="006000A8"/>
    <w:rsid w:val="0060148A"/>
    <w:rsid w:val="006031B9"/>
    <w:rsid w:val="0061413C"/>
    <w:rsid w:val="00627A9F"/>
    <w:rsid w:val="00637BE1"/>
    <w:rsid w:val="00644D48"/>
    <w:rsid w:val="006520EA"/>
    <w:rsid w:val="006555D1"/>
    <w:rsid w:val="0065679B"/>
    <w:rsid w:val="006654A0"/>
    <w:rsid w:val="006656C6"/>
    <w:rsid w:val="0066728F"/>
    <w:rsid w:val="00692F04"/>
    <w:rsid w:val="006B409C"/>
    <w:rsid w:val="006C2332"/>
    <w:rsid w:val="006C476D"/>
    <w:rsid w:val="006D0ACB"/>
    <w:rsid w:val="006D2CBD"/>
    <w:rsid w:val="006D50D7"/>
    <w:rsid w:val="006E4054"/>
    <w:rsid w:val="00705882"/>
    <w:rsid w:val="00710709"/>
    <w:rsid w:val="0071147C"/>
    <w:rsid w:val="00714E83"/>
    <w:rsid w:val="00737011"/>
    <w:rsid w:val="00740152"/>
    <w:rsid w:val="007651FF"/>
    <w:rsid w:val="007746BB"/>
    <w:rsid w:val="00777762"/>
    <w:rsid w:val="00780CE3"/>
    <w:rsid w:val="00780F6A"/>
    <w:rsid w:val="00781870"/>
    <w:rsid w:val="00791242"/>
    <w:rsid w:val="00793335"/>
    <w:rsid w:val="007A2771"/>
    <w:rsid w:val="007A3912"/>
    <w:rsid w:val="007C54C9"/>
    <w:rsid w:val="007D0078"/>
    <w:rsid w:val="007E0E4B"/>
    <w:rsid w:val="007E4307"/>
    <w:rsid w:val="007F4554"/>
    <w:rsid w:val="00805A85"/>
    <w:rsid w:val="008109BB"/>
    <w:rsid w:val="00821387"/>
    <w:rsid w:val="00822CD5"/>
    <w:rsid w:val="00826DFF"/>
    <w:rsid w:val="00831011"/>
    <w:rsid w:val="008346A3"/>
    <w:rsid w:val="00844AFA"/>
    <w:rsid w:val="00855C58"/>
    <w:rsid w:val="008744D2"/>
    <w:rsid w:val="00880AAB"/>
    <w:rsid w:val="008A2B04"/>
    <w:rsid w:val="008B14C7"/>
    <w:rsid w:val="008B2C42"/>
    <w:rsid w:val="008B4FF5"/>
    <w:rsid w:val="008B6E10"/>
    <w:rsid w:val="008C2329"/>
    <w:rsid w:val="008C30D2"/>
    <w:rsid w:val="008F62B4"/>
    <w:rsid w:val="008F64D6"/>
    <w:rsid w:val="009068C6"/>
    <w:rsid w:val="00906CBB"/>
    <w:rsid w:val="00913492"/>
    <w:rsid w:val="00916434"/>
    <w:rsid w:val="00916A18"/>
    <w:rsid w:val="00926677"/>
    <w:rsid w:val="00946148"/>
    <w:rsid w:val="00950484"/>
    <w:rsid w:val="009666D1"/>
    <w:rsid w:val="00967942"/>
    <w:rsid w:val="00987340"/>
    <w:rsid w:val="009952CA"/>
    <w:rsid w:val="009A0903"/>
    <w:rsid w:val="009A4F69"/>
    <w:rsid w:val="009C740E"/>
    <w:rsid w:val="009C753B"/>
    <w:rsid w:val="009D3138"/>
    <w:rsid w:val="009D4E79"/>
    <w:rsid w:val="009D7EDD"/>
    <w:rsid w:val="009E7E94"/>
    <w:rsid w:val="009F2106"/>
    <w:rsid w:val="009F4D5E"/>
    <w:rsid w:val="00A019FF"/>
    <w:rsid w:val="00A04953"/>
    <w:rsid w:val="00A04F55"/>
    <w:rsid w:val="00A0602F"/>
    <w:rsid w:val="00A10080"/>
    <w:rsid w:val="00A26A8A"/>
    <w:rsid w:val="00A27749"/>
    <w:rsid w:val="00A3262F"/>
    <w:rsid w:val="00A50747"/>
    <w:rsid w:val="00A63696"/>
    <w:rsid w:val="00A64824"/>
    <w:rsid w:val="00A66F9E"/>
    <w:rsid w:val="00A70240"/>
    <w:rsid w:val="00A713CA"/>
    <w:rsid w:val="00A87F46"/>
    <w:rsid w:val="00AA220B"/>
    <w:rsid w:val="00AB64BF"/>
    <w:rsid w:val="00AD3604"/>
    <w:rsid w:val="00AE3AC4"/>
    <w:rsid w:val="00B01085"/>
    <w:rsid w:val="00B109F9"/>
    <w:rsid w:val="00B1106E"/>
    <w:rsid w:val="00B1241B"/>
    <w:rsid w:val="00B12B73"/>
    <w:rsid w:val="00B23424"/>
    <w:rsid w:val="00B26ECB"/>
    <w:rsid w:val="00B35C0B"/>
    <w:rsid w:val="00B36502"/>
    <w:rsid w:val="00B427BF"/>
    <w:rsid w:val="00B44F3C"/>
    <w:rsid w:val="00B65068"/>
    <w:rsid w:val="00B84908"/>
    <w:rsid w:val="00B876F6"/>
    <w:rsid w:val="00B8793D"/>
    <w:rsid w:val="00B917D2"/>
    <w:rsid w:val="00B93B9F"/>
    <w:rsid w:val="00B93C95"/>
    <w:rsid w:val="00BA12F1"/>
    <w:rsid w:val="00BA29DC"/>
    <w:rsid w:val="00BB4710"/>
    <w:rsid w:val="00BD28C5"/>
    <w:rsid w:val="00BD5A46"/>
    <w:rsid w:val="00BE1288"/>
    <w:rsid w:val="00BE283B"/>
    <w:rsid w:val="00BE5911"/>
    <w:rsid w:val="00BF2334"/>
    <w:rsid w:val="00BF2C37"/>
    <w:rsid w:val="00BF31C3"/>
    <w:rsid w:val="00BF3DC3"/>
    <w:rsid w:val="00C0401A"/>
    <w:rsid w:val="00C07E74"/>
    <w:rsid w:val="00C16BC6"/>
    <w:rsid w:val="00C328B5"/>
    <w:rsid w:val="00C45E86"/>
    <w:rsid w:val="00C5134F"/>
    <w:rsid w:val="00C67519"/>
    <w:rsid w:val="00C74E95"/>
    <w:rsid w:val="00C8016E"/>
    <w:rsid w:val="00C84279"/>
    <w:rsid w:val="00C86F80"/>
    <w:rsid w:val="00C87BE9"/>
    <w:rsid w:val="00C87F12"/>
    <w:rsid w:val="00CA07E6"/>
    <w:rsid w:val="00CA31F7"/>
    <w:rsid w:val="00CA6C0D"/>
    <w:rsid w:val="00CB51F6"/>
    <w:rsid w:val="00CC1983"/>
    <w:rsid w:val="00CC6DF2"/>
    <w:rsid w:val="00CD1E05"/>
    <w:rsid w:val="00CE777C"/>
    <w:rsid w:val="00CF14F9"/>
    <w:rsid w:val="00CF168B"/>
    <w:rsid w:val="00D07737"/>
    <w:rsid w:val="00D221FF"/>
    <w:rsid w:val="00D27B03"/>
    <w:rsid w:val="00D30FAD"/>
    <w:rsid w:val="00D344BA"/>
    <w:rsid w:val="00D3464A"/>
    <w:rsid w:val="00D7298E"/>
    <w:rsid w:val="00D830B2"/>
    <w:rsid w:val="00D87DE0"/>
    <w:rsid w:val="00D9269A"/>
    <w:rsid w:val="00DB66A2"/>
    <w:rsid w:val="00DC4F54"/>
    <w:rsid w:val="00DE2E05"/>
    <w:rsid w:val="00DE32CE"/>
    <w:rsid w:val="00DE50E8"/>
    <w:rsid w:val="00E12F82"/>
    <w:rsid w:val="00E152B1"/>
    <w:rsid w:val="00E20A34"/>
    <w:rsid w:val="00E20E14"/>
    <w:rsid w:val="00E21D66"/>
    <w:rsid w:val="00E228B9"/>
    <w:rsid w:val="00E308C1"/>
    <w:rsid w:val="00E375A0"/>
    <w:rsid w:val="00E55909"/>
    <w:rsid w:val="00E67BD7"/>
    <w:rsid w:val="00E70A30"/>
    <w:rsid w:val="00E71CDA"/>
    <w:rsid w:val="00E76B21"/>
    <w:rsid w:val="00E76BA8"/>
    <w:rsid w:val="00E84E47"/>
    <w:rsid w:val="00E87C0D"/>
    <w:rsid w:val="00EA1461"/>
    <w:rsid w:val="00EA2E2A"/>
    <w:rsid w:val="00EA3614"/>
    <w:rsid w:val="00EB0134"/>
    <w:rsid w:val="00EB0203"/>
    <w:rsid w:val="00EB14BA"/>
    <w:rsid w:val="00EB3877"/>
    <w:rsid w:val="00EC5DAE"/>
    <w:rsid w:val="00ED1359"/>
    <w:rsid w:val="00ED4138"/>
    <w:rsid w:val="00ED7571"/>
    <w:rsid w:val="00EE7B6F"/>
    <w:rsid w:val="00EE7F50"/>
    <w:rsid w:val="00EF5A48"/>
    <w:rsid w:val="00F11BE4"/>
    <w:rsid w:val="00F216CC"/>
    <w:rsid w:val="00F23EB6"/>
    <w:rsid w:val="00F243D3"/>
    <w:rsid w:val="00F3075C"/>
    <w:rsid w:val="00F41B80"/>
    <w:rsid w:val="00F42C97"/>
    <w:rsid w:val="00F4306E"/>
    <w:rsid w:val="00F43A6F"/>
    <w:rsid w:val="00F45CA3"/>
    <w:rsid w:val="00F52AD2"/>
    <w:rsid w:val="00F61D48"/>
    <w:rsid w:val="00F62F9B"/>
    <w:rsid w:val="00F71E07"/>
    <w:rsid w:val="00F816FC"/>
    <w:rsid w:val="00F84751"/>
    <w:rsid w:val="00F86475"/>
    <w:rsid w:val="00F944F9"/>
    <w:rsid w:val="00F9620E"/>
    <w:rsid w:val="00FA7B03"/>
    <w:rsid w:val="00FB7B99"/>
    <w:rsid w:val="00FD2B18"/>
    <w:rsid w:val="00FE0B2C"/>
    <w:rsid w:val="00FE2DBF"/>
    <w:rsid w:val="00FE6418"/>
    <w:rsid w:val="00FE79E7"/>
    <w:rsid w:val="00FF0AEB"/>
    <w:rsid w:val="00FF108D"/>
    <w:rsid w:val="01300C7C"/>
    <w:rsid w:val="033761BF"/>
    <w:rsid w:val="038D12A8"/>
    <w:rsid w:val="040948D5"/>
    <w:rsid w:val="05C46E4A"/>
    <w:rsid w:val="06215913"/>
    <w:rsid w:val="06B09D13"/>
    <w:rsid w:val="06E49340"/>
    <w:rsid w:val="08A44BCA"/>
    <w:rsid w:val="094D87B8"/>
    <w:rsid w:val="0DD2B50B"/>
    <w:rsid w:val="10CAE34A"/>
    <w:rsid w:val="1418E9E2"/>
    <w:rsid w:val="15E61EF6"/>
    <w:rsid w:val="1928FFC7"/>
    <w:rsid w:val="19E766AF"/>
    <w:rsid w:val="1AF50012"/>
    <w:rsid w:val="1D98D928"/>
    <w:rsid w:val="1EFC10E4"/>
    <w:rsid w:val="249BE258"/>
    <w:rsid w:val="250D7ED7"/>
    <w:rsid w:val="257EBF35"/>
    <w:rsid w:val="274BE83E"/>
    <w:rsid w:val="275D7449"/>
    <w:rsid w:val="27B8AAD9"/>
    <w:rsid w:val="28A43EC7"/>
    <w:rsid w:val="2B5E2757"/>
    <w:rsid w:val="2E868C9D"/>
    <w:rsid w:val="2FDC7AB4"/>
    <w:rsid w:val="311D913A"/>
    <w:rsid w:val="33A53708"/>
    <w:rsid w:val="358CA0B8"/>
    <w:rsid w:val="36CAD2AA"/>
    <w:rsid w:val="385F7FCE"/>
    <w:rsid w:val="3A6011DB"/>
    <w:rsid w:val="3AFF9E6B"/>
    <w:rsid w:val="3CAC15DA"/>
    <w:rsid w:val="3E83880A"/>
    <w:rsid w:val="409C289D"/>
    <w:rsid w:val="42B98F97"/>
    <w:rsid w:val="42DC6F04"/>
    <w:rsid w:val="456F420F"/>
    <w:rsid w:val="4641EF1F"/>
    <w:rsid w:val="470B1270"/>
    <w:rsid w:val="47BCFCB3"/>
    <w:rsid w:val="4884B45B"/>
    <w:rsid w:val="4AB9FDA4"/>
    <w:rsid w:val="4CB130A3"/>
    <w:rsid w:val="4D861F1F"/>
    <w:rsid w:val="4F49A6C8"/>
    <w:rsid w:val="505C15DA"/>
    <w:rsid w:val="5088A303"/>
    <w:rsid w:val="52681F2D"/>
    <w:rsid w:val="52B8B0A8"/>
    <w:rsid w:val="56F19D2C"/>
    <w:rsid w:val="588CD3FA"/>
    <w:rsid w:val="5C5016C0"/>
    <w:rsid w:val="5D363BF8"/>
    <w:rsid w:val="5D4DFDAE"/>
    <w:rsid w:val="5F66E295"/>
    <w:rsid w:val="61ADF325"/>
    <w:rsid w:val="6256C9E1"/>
    <w:rsid w:val="6310ACAD"/>
    <w:rsid w:val="64595674"/>
    <w:rsid w:val="6478198F"/>
    <w:rsid w:val="6479A081"/>
    <w:rsid w:val="64B10225"/>
    <w:rsid w:val="650DD64B"/>
    <w:rsid w:val="66A9A6AC"/>
    <w:rsid w:val="68989DDB"/>
    <w:rsid w:val="692011A3"/>
    <w:rsid w:val="69D00C97"/>
    <w:rsid w:val="69E934F4"/>
    <w:rsid w:val="6ABBE204"/>
    <w:rsid w:val="6B11D6BA"/>
    <w:rsid w:val="6B84A00C"/>
    <w:rsid w:val="6BFA5566"/>
    <w:rsid w:val="6DB8C21F"/>
    <w:rsid w:val="6EFF6056"/>
    <w:rsid w:val="7052E630"/>
    <w:rsid w:val="712B2388"/>
    <w:rsid w:val="72937176"/>
    <w:rsid w:val="74263BBE"/>
    <w:rsid w:val="7462C44A"/>
    <w:rsid w:val="76F67AEB"/>
    <w:rsid w:val="793E22F3"/>
    <w:rsid w:val="7BEA17DA"/>
    <w:rsid w:val="7CA0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82E08"/>
  <w15:docId w15:val="{105224A1-D12B-4132-BDAC-0038311D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C2332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EE4"/>
    <w:pPr>
      <w:spacing w:after="160" w:line="240" w:lineRule="auto"/>
    </w:pPr>
    <w:rPr>
      <w:rFonts w:asciiTheme="minorHAnsi" w:eastAsiaTheme="minorHAnsi" w:hAnsiTheme="minorHAnsi" w:cstheme="minorBidi"/>
      <w:b/>
      <w:bCs/>
      <w:color w:val="auto"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2EE4"/>
    <w:rPr>
      <w:rFonts w:ascii="Arial" w:eastAsia="Times New Roman" w:hAnsi="Arial" w:cs="Times New Roman"/>
      <w:b/>
      <w:bCs/>
      <w:color w:val="000000"/>
      <w:sz w:val="20"/>
      <w:szCs w:val="20"/>
      <w:lang w:val="it-IT" w:eastAsia="it-IT"/>
    </w:rPr>
  </w:style>
  <w:style w:type="paragraph" w:styleId="NormalWeb">
    <w:name w:val="Normal (Web)"/>
    <w:basedOn w:val="Normal"/>
    <w:uiPriority w:val="99"/>
    <w:unhideWhenUsed/>
    <w:rsid w:val="00E71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F3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1C3"/>
  </w:style>
  <w:style w:type="paragraph" w:styleId="Revision">
    <w:name w:val="Revision"/>
    <w:hidden/>
    <w:uiPriority w:val="99"/>
    <w:semiHidden/>
    <w:rsid w:val="009F4D5E"/>
    <w:pPr>
      <w:spacing w:after="0" w:line="240" w:lineRule="auto"/>
    </w:pPr>
  </w:style>
  <w:style w:type="paragraph" w:customStyle="1" w:styleId="Body">
    <w:name w:val="Body"/>
    <w:rsid w:val="009F21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1C4A63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066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5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facebook.com/caseconstructionequipment" TargetMode="External"/><Relationship Id="rId18" Type="http://schemas.openxmlformats.org/officeDocument/2006/relationships/image" Target="media/image3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ASEce.com" TargetMode="External"/><Relationship Id="rId7" Type="http://schemas.openxmlformats.org/officeDocument/2006/relationships/styles" Target="styles.xml"/><Relationship Id="rId12" Type="http://schemas.openxmlformats.org/officeDocument/2006/relationships/hyperlink" Target="http://www.casecetools.com/press-kit" TargetMode="External"/><Relationship Id="rId17" Type="http://schemas.openxmlformats.org/officeDocument/2006/relationships/hyperlink" Target="https://www.youtube.com/user/Caseatwork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hyperlink" Target="https://twitter.com/#!/casece" TargetMode="External"/><Relationship Id="rId23" Type="http://schemas.openxmlformats.org/officeDocument/2006/relationships/hyperlink" Target="mailto:mike@copestone.uk.com" TargetMode="External"/><Relationship Id="rId28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company/case-construction-equipmen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Relationship Id="rId22" Type="http://schemas.openxmlformats.org/officeDocument/2006/relationships/hyperlink" Target="http://www.cnhindustrial.com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Mike Doggwiler</DisplayName>
        <AccountId>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D355EEF-389E-424E-8929-A384DB5D94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041EED-E4E6-4EC3-B651-0A3E29A434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A0027C9-0369-47C2-BD62-32992EC6057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21A16E0-1C3B-4266-B948-DFFA4078FF39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3F40ABDD-FD73-4910-B77B-7BE8AEBD972B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1894</Words>
  <Characters>10798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Mike Doggwiler</cp:lastModifiedBy>
  <cp:revision>7</cp:revision>
  <dcterms:created xsi:type="dcterms:W3CDTF">2022-04-29T10:58:00Z</dcterms:created>
  <dcterms:modified xsi:type="dcterms:W3CDTF">2022-05-03T14:25:00Z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83d9c45b-64a7-4598-aae7-8c62777fac23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F63971A,2021-09-21 17:59:25,GENERAL BUSINESS</vt:lpwstr>
  </property>
</Properties>
</file>