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31737C" w14:textId="77777777" w:rsidR="00064A79" w:rsidRPr="00064A79" w:rsidRDefault="00064A79" w:rsidP="00B8793D">
      <w:pPr>
        <w:pStyle w:val="NormalWeb"/>
        <w:jc w:val="center"/>
        <w:rPr>
          <w:rStyle w:val="HeaderChar"/>
          <w:rFonts w:ascii="Gill Sans MT" w:eastAsiaTheme="minorEastAsia" w:hAnsi="Gill Sans MT"/>
          <w:b/>
          <w:color w:val="000000"/>
          <w:sz w:val="22"/>
          <w:lang w:val="pl-PL" w:eastAsia="pl-PL"/>
        </w:rPr>
      </w:pPr>
      <w:bookmarkStart w:id="0" w:name="_Hlk78806994"/>
      <w:bookmarkStart w:id="1" w:name="_Hlk510438457"/>
      <w:r w:rsidRPr="00064A79">
        <w:rPr>
          <w:rStyle w:val="HeaderChar"/>
          <w:rFonts w:ascii="Gill Sans MT" w:eastAsiaTheme="minorEastAsia" w:hAnsi="Gill Sans MT"/>
          <w:b/>
          <w:color w:val="000000"/>
          <w:sz w:val="22"/>
          <w:lang w:val="pl-PL" w:eastAsia="pl-PL"/>
        </w:rPr>
        <w:t>Firma CASE ogłasza wprowadzenie nowych modeli minikoparek serii D, które zapewniają niedoścignioną zwinność i uniwersalność, dając się zoptymalizować do każdego zastosowania</w:t>
      </w:r>
    </w:p>
    <w:p w14:paraId="2D282315" w14:textId="77777777" w:rsidR="00064A79" w:rsidRPr="00064A79" w:rsidRDefault="00064A79" w:rsidP="00064A79">
      <w:pPr>
        <w:pStyle w:val="NormalWeb"/>
        <w:rPr>
          <w:rStyle w:val="HeaderChar"/>
          <w:rFonts w:ascii="Gill Sans MT" w:eastAsiaTheme="minorEastAsia" w:hAnsi="Gill Sans MT"/>
          <w:bCs/>
          <w:i/>
          <w:iCs/>
          <w:color w:val="000000"/>
          <w:sz w:val="22"/>
          <w:lang w:val="pl-PL" w:eastAsia="pl-PL"/>
        </w:rPr>
      </w:pPr>
      <w:r w:rsidRPr="00064A79">
        <w:rPr>
          <w:rStyle w:val="HeaderChar"/>
          <w:rFonts w:ascii="Gill Sans MT" w:eastAsiaTheme="minorEastAsia" w:hAnsi="Gill Sans MT"/>
          <w:bCs/>
          <w:i/>
          <w:iCs/>
          <w:color w:val="000000"/>
          <w:sz w:val="22"/>
          <w:lang w:val="pl-PL" w:eastAsia="pl-PL"/>
        </w:rPr>
        <w:t xml:space="preserve">Turyn, 5 maja 2022 roku </w:t>
      </w:r>
    </w:p>
    <w:p w14:paraId="77D69798" w14:textId="77777777" w:rsidR="00064A79" w:rsidRPr="00064A79" w:rsidRDefault="00064A79" w:rsidP="00064A79">
      <w:pPr>
        <w:pStyle w:val="NormalWeb"/>
        <w:rPr>
          <w:rStyle w:val="HeaderChar"/>
          <w:rFonts w:ascii="Gill Sans MT" w:eastAsiaTheme="minorEastAsia" w:hAnsi="Gill Sans MT"/>
          <w:bCs/>
          <w:color w:val="000000"/>
          <w:sz w:val="22"/>
          <w:lang w:val="pl-PL" w:eastAsia="pl-PL"/>
        </w:rPr>
      </w:pPr>
      <w:r w:rsidRPr="00064A79">
        <w:rPr>
          <w:rStyle w:val="HeaderChar"/>
          <w:rFonts w:ascii="Gill Sans MT" w:eastAsiaTheme="minorEastAsia" w:hAnsi="Gill Sans MT"/>
          <w:bCs/>
          <w:color w:val="000000"/>
          <w:sz w:val="22"/>
          <w:lang w:val="pl-PL" w:eastAsia="pl-PL"/>
        </w:rPr>
        <w:t>CASE Construction Equipment ogłosiła dziś wprowadzenie w Europie, nowych minikoparek serii D, która obejmie 20 modeli, od 1-tonowego po 6-tonowy, w tym maszyny z napędem elektrycznym. W ramach nowej serii maszyn, które stanowią odpowiedź na wszelkie potrzeby klienta, każda nowa minikoparka będzie wyposażona w najnowsze technologię, funkcje i osprzęt dostępne na wszystkich rynkach oraz dla wszystkich zastosowań.</w:t>
      </w:r>
    </w:p>
    <w:p w14:paraId="7E82A08B" w14:textId="77777777" w:rsidR="00064A79" w:rsidRPr="00064A79" w:rsidRDefault="00064A79" w:rsidP="00064A79">
      <w:pPr>
        <w:pStyle w:val="NormalWeb"/>
        <w:rPr>
          <w:rStyle w:val="HeaderChar"/>
          <w:rFonts w:ascii="Gill Sans MT" w:eastAsiaTheme="minorEastAsia" w:hAnsi="Gill Sans MT"/>
          <w:bCs/>
          <w:color w:val="000000"/>
          <w:sz w:val="22"/>
          <w:lang w:val="pl-PL" w:eastAsia="pl-PL"/>
        </w:rPr>
      </w:pPr>
      <w:r w:rsidRPr="00064A79">
        <w:rPr>
          <w:rStyle w:val="HeaderChar"/>
          <w:rFonts w:ascii="Gill Sans MT" w:eastAsiaTheme="minorEastAsia" w:hAnsi="Gill Sans MT"/>
          <w:bCs/>
          <w:color w:val="000000"/>
          <w:sz w:val="22"/>
          <w:lang w:val="pl-PL" w:eastAsia="pl-PL"/>
        </w:rPr>
        <w:t xml:space="preserve">Atrakcyjność tej rodziny uniwersalnych, zwinnych i czołowych na rynku maszyn dodatkowo zwiększają ich niezawodność, możliwości serwisowania, zmaksymalizowany czas pracy bez przestojów oraz wydajność i dochodowość dla klienta. Ponadto minikoparki serii D marki CASE, przeznaczone na rynek europejski są produkowane w specjalnie przystosowanych zakładach we Włoszech, co zapewnia synergię innowacji, technologii, doświadczenia i procesu produkcyjnego, będące także rezultatem przejęcia Sampierana przez CNH Industrial w 2021 roku. </w:t>
      </w:r>
    </w:p>
    <w:p w14:paraId="7455FE49" w14:textId="77777777" w:rsidR="00064A79" w:rsidRPr="00064A79" w:rsidRDefault="00064A79" w:rsidP="00064A79">
      <w:pPr>
        <w:pStyle w:val="NormalWeb"/>
        <w:rPr>
          <w:rStyle w:val="HeaderChar"/>
          <w:rFonts w:ascii="Gill Sans MT" w:eastAsiaTheme="minorEastAsia" w:hAnsi="Gill Sans MT"/>
          <w:bCs/>
          <w:color w:val="000000"/>
          <w:sz w:val="22"/>
          <w:lang w:val="pl-PL" w:eastAsia="pl-PL"/>
        </w:rPr>
      </w:pPr>
      <w:r w:rsidRPr="00064A79">
        <w:rPr>
          <w:rStyle w:val="HeaderChar"/>
          <w:rFonts w:ascii="Gill Sans MT" w:eastAsiaTheme="minorEastAsia" w:hAnsi="Gill Sans MT"/>
          <w:bCs/>
          <w:color w:val="000000"/>
          <w:sz w:val="22"/>
          <w:lang w:val="pl-PL" w:eastAsia="pl-PL"/>
        </w:rPr>
        <w:t>„Minikoparki należą do segmentu rynku o dużym wzroście i odpowiadają za niemal połowę sprzedawanych w Europie maszyn. CASE zareagowała na zapotrzebowanie klientów, oferując całą rodzinę 20 minikoparek serii D o masie od 1 do 6 ton, w tym modele z napędem elektrycznym (1- 3-tonowe)”, jak podaje Egidio Galano, dyrektor, Construction Equipment Product Management Europe, CNH Industrial. „Dzięki temu, że zakłady produkcyjne znajdują się we Włoszech, wspierając cały rynek europejski, możemy z dumą prowadzić produkcję tam, gdzie sprzedajemy maszyny. Produkcja na terenie Europy umożliwi transport pierwszych maszyn serii D do lokalizacji klienta od trzeciego kwartału 2022 roku”.</w:t>
      </w:r>
    </w:p>
    <w:p w14:paraId="22093839" w14:textId="77777777" w:rsidR="00064A79" w:rsidRPr="00064A79" w:rsidRDefault="00064A79" w:rsidP="00064A79">
      <w:pPr>
        <w:pStyle w:val="NormalWeb"/>
        <w:rPr>
          <w:rStyle w:val="HeaderChar"/>
          <w:rFonts w:ascii="Gill Sans MT" w:eastAsiaTheme="minorEastAsia" w:hAnsi="Gill Sans MT"/>
          <w:bCs/>
          <w:color w:val="000000"/>
          <w:sz w:val="22"/>
          <w:lang w:val="pl-PL" w:eastAsia="pl-PL"/>
        </w:rPr>
      </w:pPr>
      <w:r w:rsidRPr="00064A79">
        <w:rPr>
          <w:rStyle w:val="HeaderChar"/>
          <w:rFonts w:ascii="Gill Sans MT" w:eastAsiaTheme="minorEastAsia" w:hAnsi="Gill Sans MT"/>
          <w:bCs/>
          <w:color w:val="000000"/>
          <w:sz w:val="22"/>
          <w:lang w:val="pl-PL" w:eastAsia="pl-PL"/>
        </w:rPr>
        <w:t xml:space="preserve">Dwa modele elektryczne, dostępne od pierwszego kwartału 2023 roku, mieszczą się w zakresie maszyn 1-3-tonowych, dzięki czemu mogą wspierać klientów działających w miejscach, gdzie występują rygorystyczne środki kontroli emisji, takich jak tereny miejskie. </w:t>
      </w:r>
    </w:p>
    <w:p w14:paraId="56BEA65E" w14:textId="77777777" w:rsidR="00064A79" w:rsidRPr="00064A79" w:rsidRDefault="00064A79" w:rsidP="00064A79">
      <w:pPr>
        <w:pStyle w:val="NormalWeb"/>
        <w:rPr>
          <w:rStyle w:val="HeaderChar"/>
          <w:rFonts w:ascii="Gill Sans MT" w:eastAsiaTheme="minorEastAsia" w:hAnsi="Gill Sans MT"/>
          <w:b/>
          <w:color w:val="000000"/>
          <w:sz w:val="22"/>
          <w:lang w:val="pl-PL" w:eastAsia="pl-PL"/>
        </w:rPr>
      </w:pPr>
      <w:r w:rsidRPr="00064A79">
        <w:rPr>
          <w:rStyle w:val="HeaderChar"/>
          <w:rFonts w:ascii="Gill Sans MT" w:eastAsiaTheme="minorEastAsia" w:hAnsi="Gill Sans MT"/>
          <w:b/>
          <w:color w:val="000000"/>
          <w:sz w:val="22"/>
          <w:lang w:val="pl-PL" w:eastAsia="pl-PL"/>
        </w:rPr>
        <w:t xml:space="preserve">20 modeli oferujących jedno elastyczne rozwiązanie jako odpowiedź na wszystkie wyzwania klientów </w:t>
      </w:r>
    </w:p>
    <w:p w14:paraId="6B013ECF" w14:textId="77777777" w:rsidR="00064A79" w:rsidRPr="00064A79" w:rsidRDefault="00064A79" w:rsidP="00064A79">
      <w:pPr>
        <w:pStyle w:val="NormalWeb"/>
        <w:rPr>
          <w:rStyle w:val="HeaderChar"/>
          <w:rFonts w:ascii="Gill Sans MT" w:eastAsiaTheme="minorEastAsia" w:hAnsi="Gill Sans MT"/>
          <w:bCs/>
          <w:color w:val="000000"/>
          <w:sz w:val="22"/>
          <w:lang w:val="pl-PL" w:eastAsia="pl-PL"/>
        </w:rPr>
      </w:pPr>
      <w:r w:rsidRPr="00064A79">
        <w:rPr>
          <w:rStyle w:val="HeaderChar"/>
          <w:rFonts w:ascii="Gill Sans MT" w:eastAsiaTheme="minorEastAsia" w:hAnsi="Gill Sans MT"/>
          <w:bCs/>
          <w:color w:val="000000"/>
          <w:sz w:val="22"/>
          <w:lang w:val="pl-PL" w:eastAsia="pl-PL"/>
        </w:rPr>
        <w:t>„Główną zaletą takiej kompleksowej serii maszyn jest jej uniwersalność, dostosowanie do wszelkich potrzeb klientów, bez względu na lokalizację docelową, ograniczony w niej dostęp czy rodzaj wymaganych elementów osprzętu”, kontynuuje Galano.</w:t>
      </w:r>
    </w:p>
    <w:p w14:paraId="29D38329" w14:textId="77777777" w:rsidR="00064A79" w:rsidRPr="00064A79" w:rsidRDefault="00064A79" w:rsidP="00064A79">
      <w:pPr>
        <w:pStyle w:val="NormalWeb"/>
        <w:rPr>
          <w:rStyle w:val="HeaderChar"/>
          <w:rFonts w:ascii="Gill Sans MT" w:eastAsiaTheme="minorEastAsia" w:hAnsi="Gill Sans MT"/>
          <w:bCs/>
          <w:color w:val="000000"/>
          <w:sz w:val="22"/>
          <w:lang w:val="pl-PL" w:eastAsia="pl-PL"/>
        </w:rPr>
      </w:pPr>
      <w:r w:rsidRPr="00064A79">
        <w:rPr>
          <w:rStyle w:val="HeaderChar"/>
          <w:rFonts w:ascii="Gill Sans MT" w:eastAsiaTheme="minorEastAsia" w:hAnsi="Gill Sans MT"/>
          <w:bCs/>
          <w:color w:val="000000"/>
          <w:sz w:val="22"/>
          <w:lang w:val="pl-PL" w:eastAsia="pl-PL"/>
        </w:rPr>
        <w:t xml:space="preserve">Dalej wyjaśnia: Modele, na które jest największe zapotrzebowanie w Europie, to maszyny 1-3-tonowe oraz 5-6-tonowe, zaś w naszej ofercie znajduje się 15 modeli o takich parametrach. </w:t>
      </w:r>
    </w:p>
    <w:p w14:paraId="325B8E64" w14:textId="77777777" w:rsidR="00064A79" w:rsidRPr="00064A79" w:rsidRDefault="00064A79" w:rsidP="00064A79">
      <w:pPr>
        <w:pStyle w:val="NormalWeb"/>
        <w:rPr>
          <w:rStyle w:val="HeaderChar"/>
          <w:rFonts w:ascii="Gill Sans MT" w:eastAsiaTheme="minorEastAsia" w:hAnsi="Gill Sans MT"/>
          <w:bCs/>
          <w:color w:val="000000"/>
          <w:sz w:val="22"/>
          <w:lang w:val="pl-PL" w:eastAsia="pl-PL"/>
        </w:rPr>
      </w:pPr>
      <w:r w:rsidRPr="00064A79">
        <w:rPr>
          <w:rStyle w:val="HeaderChar"/>
          <w:rFonts w:ascii="Gill Sans MT" w:eastAsiaTheme="minorEastAsia" w:hAnsi="Gill Sans MT"/>
          <w:bCs/>
          <w:color w:val="000000"/>
          <w:sz w:val="22"/>
          <w:lang w:val="pl-PL" w:eastAsia="pl-PL"/>
        </w:rPr>
        <w:t>Uniwersalność, elastyczność i zwinność są dodatkowo wzmocnione innymi cechami minikoparek serii D, takimi jak konstrukcja ZTS (dająca nieograniczone możliwości obrotu) oraz wysięgniki dwuczęściowe dostępne we wszystkich modelach, szybkozłącza hydrauliczne i mechaniczne oraz modele napędzane elektrycznie, które mogą pracować w strefach nisko- lub zeroemisyjnych.</w:t>
      </w:r>
    </w:p>
    <w:p w14:paraId="7D726BA4" w14:textId="77777777" w:rsidR="00064A79" w:rsidRPr="00064A79" w:rsidRDefault="00064A79" w:rsidP="00064A79">
      <w:pPr>
        <w:pStyle w:val="NormalWeb"/>
        <w:rPr>
          <w:rStyle w:val="HeaderChar"/>
          <w:rFonts w:ascii="Gill Sans MT" w:eastAsiaTheme="minorEastAsia" w:hAnsi="Gill Sans MT"/>
          <w:b/>
          <w:color w:val="000000"/>
          <w:sz w:val="22"/>
          <w:lang w:val="pl-PL" w:eastAsia="pl-PL"/>
        </w:rPr>
      </w:pPr>
      <w:r w:rsidRPr="00064A79">
        <w:rPr>
          <w:rStyle w:val="HeaderChar"/>
          <w:rFonts w:ascii="Gill Sans MT" w:eastAsiaTheme="minorEastAsia" w:hAnsi="Gill Sans MT"/>
          <w:b/>
          <w:color w:val="000000"/>
          <w:sz w:val="22"/>
          <w:lang w:val="pl-PL" w:eastAsia="pl-PL"/>
        </w:rPr>
        <w:lastRenderedPageBreak/>
        <w:t xml:space="preserve">Maszyny zoptymalizowane do setek zastosowań dzięki wiodącej w branży technologii </w:t>
      </w:r>
    </w:p>
    <w:p w14:paraId="29986033" w14:textId="77777777" w:rsidR="00064A79" w:rsidRPr="00064A79" w:rsidRDefault="00064A79" w:rsidP="00064A79">
      <w:pPr>
        <w:pStyle w:val="NormalWeb"/>
        <w:rPr>
          <w:rStyle w:val="HeaderChar"/>
          <w:rFonts w:ascii="Gill Sans MT" w:eastAsiaTheme="minorEastAsia" w:hAnsi="Gill Sans MT"/>
          <w:bCs/>
          <w:color w:val="000000"/>
          <w:sz w:val="22"/>
          <w:lang w:val="pl-PL" w:eastAsia="pl-PL"/>
        </w:rPr>
      </w:pPr>
      <w:r w:rsidRPr="00064A79">
        <w:rPr>
          <w:rStyle w:val="HeaderChar"/>
          <w:rFonts w:ascii="Gill Sans MT" w:eastAsiaTheme="minorEastAsia" w:hAnsi="Gill Sans MT"/>
          <w:bCs/>
          <w:color w:val="000000"/>
          <w:sz w:val="22"/>
          <w:lang w:val="pl-PL" w:eastAsia="pl-PL"/>
        </w:rPr>
        <w:t>Aby wspierać klientów, wszystkie modele minikoparek serii D obejmują nowe, zaawansowane funkcje, bazujące na czołowej technologii. Użytkownicy mogą personalizować każdą maszynę zgodnie z zastosowaniem, wybierając od konfiguracji podstawowej po modele premium, tj. z wieloma funkcjami.</w:t>
      </w:r>
    </w:p>
    <w:p w14:paraId="55AF547A" w14:textId="77777777" w:rsidR="00064A79" w:rsidRPr="00064A79" w:rsidRDefault="00064A79" w:rsidP="00064A79">
      <w:pPr>
        <w:pStyle w:val="NormalWeb"/>
        <w:rPr>
          <w:rStyle w:val="HeaderChar"/>
          <w:rFonts w:ascii="Gill Sans MT" w:eastAsiaTheme="minorEastAsia" w:hAnsi="Gill Sans MT"/>
          <w:bCs/>
          <w:color w:val="000000"/>
          <w:sz w:val="22"/>
          <w:lang w:val="pl-PL" w:eastAsia="pl-PL"/>
        </w:rPr>
      </w:pPr>
      <w:r w:rsidRPr="00064A79">
        <w:rPr>
          <w:rStyle w:val="HeaderChar"/>
          <w:rFonts w:ascii="Gill Sans MT" w:eastAsiaTheme="minorEastAsia" w:hAnsi="Gill Sans MT"/>
          <w:bCs/>
          <w:color w:val="000000"/>
          <w:sz w:val="22"/>
          <w:lang w:val="pl-PL" w:eastAsia="pl-PL"/>
        </w:rPr>
        <w:t xml:space="preserve">Oprócz 20 różnych rozmiarów maszyn można wybrać do trzech obwodów dodatkowych z elektro-hydraulicznymi elementami sterowania, a także rozmaite szybkozłącza hydrauliczne i mechaniczne. Dzięki takiemu rozwiązaniu możliwy jest wybór spośród niezliczonych elementów osprzętu, takich jak łyżki, kruszarki czy kosiarki bijakowe. </w:t>
      </w:r>
    </w:p>
    <w:p w14:paraId="42489EE4" w14:textId="7D536755" w:rsidR="00064A79" w:rsidRPr="00064A79" w:rsidRDefault="00064A79" w:rsidP="00064A79">
      <w:pPr>
        <w:pStyle w:val="NormalWeb"/>
        <w:rPr>
          <w:rStyle w:val="HeaderChar"/>
          <w:rFonts w:ascii="Gill Sans MT" w:eastAsiaTheme="minorEastAsia" w:hAnsi="Gill Sans MT"/>
          <w:bCs/>
          <w:color w:val="000000"/>
          <w:sz w:val="22"/>
          <w:lang w:val="pl-PL" w:eastAsia="pl-PL"/>
        </w:rPr>
      </w:pPr>
      <w:r w:rsidRPr="00064A79">
        <w:rPr>
          <w:rStyle w:val="HeaderChar"/>
          <w:rFonts w:ascii="Gill Sans MT" w:eastAsiaTheme="minorEastAsia" w:hAnsi="Gill Sans MT"/>
          <w:bCs/>
          <w:color w:val="000000"/>
          <w:sz w:val="22"/>
          <w:lang w:val="pl-PL" w:eastAsia="pl-PL"/>
        </w:rPr>
        <w:t xml:space="preserve">Znana z kompaktowych wymiarów konstrukcja typu ZTS charakteryzuje całą </w:t>
      </w:r>
      <w:r w:rsidR="00D221FF" w:rsidRPr="00D221FF">
        <w:rPr>
          <w:rStyle w:val="HeaderChar"/>
          <w:rFonts w:ascii="Gill Sans MT" w:eastAsiaTheme="minorEastAsia" w:hAnsi="Gill Sans MT"/>
          <w:bCs/>
          <w:color w:val="000000"/>
          <w:sz w:val="22"/>
          <w:lang w:val="pl-PL" w:eastAsia="pl-PL"/>
        </w:rPr>
        <w:t xml:space="preserve">serię </w:t>
      </w:r>
      <w:r w:rsidRPr="00064A79">
        <w:rPr>
          <w:rStyle w:val="HeaderChar"/>
          <w:rFonts w:ascii="Gill Sans MT" w:eastAsiaTheme="minorEastAsia" w:hAnsi="Gill Sans MT"/>
          <w:bCs/>
          <w:color w:val="000000"/>
          <w:sz w:val="22"/>
          <w:lang w:val="pl-PL" w:eastAsia="pl-PL"/>
        </w:rPr>
        <w:t>minikoparek, zapewniając ich najwyższą zwinność. Korzystając z takiej maszyny wyposażonej dodatkowo w wysięgnik dwuczęściowy, operatorzy mogą pracować na większych wysokościach i sięgając maszyną dalej niż w przypadku zwykłych wysięgników jednoczęściowych. Mogą także kopać głębiej i bliżej maszyny w miejscach o ograniczonej przestrzeni. Zwiększający wydajność wysięgnik dwuczęściowy jest dostępny dla całej serii, w tym dla modelu 2-tonowego, 4,5-tonowego i 5,5-tonowego, po raz pierwszy w branży.</w:t>
      </w:r>
    </w:p>
    <w:p w14:paraId="7C57812D" w14:textId="36158E94" w:rsidR="001E5DB3" w:rsidRDefault="00CC1983" w:rsidP="00064A79">
      <w:pPr>
        <w:pStyle w:val="NormalWeb"/>
        <w:rPr>
          <w:rStyle w:val="HeaderChar"/>
          <w:rFonts w:ascii="Gill Sans MT" w:eastAsiaTheme="minorEastAsia" w:hAnsi="Gill Sans MT"/>
          <w:bCs/>
          <w:color w:val="000000"/>
          <w:sz w:val="22"/>
          <w:lang w:val="pl-PL" w:eastAsia="pl-PL"/>
        </w:rPr>
      </w:pPr>
      <w:r w:rsidRPr="00CC1983">
        <w:rPr>
          <w:rStyle w:val="HeaderChar"/>
          <w:rFonts w:ascii="Gill Sans MT" w:eastAsiaTheme="minorEastAsia" w:hAnsi="Gill Sans MT"/>
          <w:bCs/>
          <w:color w:val="000000"/>
          <w:sz w:val="22"/>
          <w:lang w:val="pl-PL" w:eastAsia="pl-PL"/>
        </w:rPr>
        <w:t xml:space="preserve">Dodatkowe wysoce zaawansowane funkcje dostępne we wszystkich modelach to elektro-hydrauliczne elementy sterowania, konfiguracje obwodów hydraulicznych, sterowana elektronicznie pompa hydrauliczna z wykrywaniem obciążenia oraz zawory sterujące z kompensacją. </w:t>
      </w:r>
    </w:p>
    <w:p w14:paraId="007428AD" w14:textId="724FD97D" w:rsidR="00064A79" w:rsidRPr="00064A79" w:rsidRDefault="00064A79" w:rsidP="00064A79">
      <w:pPr>
        <w:pStyle w:val="NormalWeb"/>
        <w:rPr>
          <w:rStyle w:val="HeaderChar"/>
          <w:rFonts w:ascii="Gill Sans MT" w:eastAsiaTheme="minorEastAsia" w:hAnsi="Gill Sans MT"/>
          <w:bCs/>
          <w:color w:val="000000"/>
          <w:sz w:val="22"/>
          <w:lang w:val="pl-PL" w:eastAsia="pl-PL"/>
        </w:rPr>
      </w:pPr>
      <w:r w:rsidRPr="00064A79">
        <w:rPr>
          <w:rStyle w:val="HeaderChar"/>
          <w:rFonts w:ascii="Gill Sans MT" w:eastAsiaTheme="minorEastAsia" w:hAnsi="Gill Sans MT"/>
          <w:bCs/>
          <w:color w:val="000000"/>
          <w:sz w:val="22"/>
          <w:lang w:val="pl-PL" w:eastAsia="pl-PL"/>
        </w:rPr>
        <w:t xml:space="preserve">CX15EV to pierwszy z modeli elektrycznych, który został zaprezentowany na targach CNH Industrial Capital w lutym 2022 roku. Dostępna w sprzedaży od 1. kwartału 2023 roku, ta 1,3-tonowa maszyna posiada 16 kW silnik elektryczny z 21,5 kW akumulatorem, który można naładować w ciągu niespełna dwóch godzin, używając szybkiej ładowarki zewnętrznej, tak aby ograniczyć czas przestojów do minimum. Oznacza to, że klienci mogą zmaksymalizować zarówno wydajność, jak i poziom kontroli emisji. </w:t>
      </w:r>
    </w:p>
    <w:p w14:paraId="03491EBD" w14:textId="77777777" w:rsidR="00064A79" w:rsidRPr="00064A79" w:rsidRDefault="00064A79" w:rsidP="00064A79">
      <w:pPr>
        <w:pStyle w:val="NormalWeb"/>
        <w:rPr>
          <w:rStyle w:val="HeaderChar"/>
          <w:rFonts w:ascii="Gill Sans MT" w:eastAsiaTheme="minorEastAsia" w:hAnsi="Gill Sans MT"/>
          <w:b/>
          <w:color w:val="000000"/>
          <w:sz w:val="22"/>
          <w:lang w:val="pl-PL" w:eastAsia="pl-PL"/>
        </w:rPr>
      </w:pPr>
      <w:r w:rsidRPr="00064A79">
        <w:rPr>
          <w:rStyle w:val="HeaderChar"/>
          <w:rFonts w:ascii="Gill Sans MT" w:eastAsiaTheme="minorEastAsia" w:hAnsi="Gill Sans MT"/>
          <w:b/>
          <w:color w:val="000000"/>
          <w:sz w:val="22"/>
          <w:lang w:val="pl-PL" w:eastAsia="pl-PL"/>
        </w:rPr>
        <w:t xml:space="preserve">Koncentracja na komforcie operatora, która poprawia wydajność i bezpieczeństwo </w:t>
      </w:r>
    </w:p>
    <w:p w14:paraId="272CDA62" w14:textId="77777777" w:rsidR="00064A79" w:rsidRPr="00064A79" w:rsidRDefault="00064A79" w:rsidP="00064A79">
      <w:pPr>
        <w:pStyle w:val="NormalWeb"/>
        <w:rPr>
          <w:rStyle w:val="HeaderChar"/>
          <w:rFonts w:ascii="Gill Sans MT" w:eastAsiaTheme="minorEastAsia" w:hAnsi="Gill Sans MT"/>
          <w:bCs/>
          <w:color w:val="000000"/>
          <w:sz w:val="22"/>
          <w:lang w:val="pl-PL" w:eastAsia="pl-PL"/>
        </w:rPr>
      </w:pPr>
      <w:r w:rsidRPr="00064A79">
        <w:rPr>
          <w:rStyle w:val="HeaderChar"/>
          <w:rFonts w:ascii="Gill Sans MT" w:eastAsiaTheme="minorEastAsia" w:hAnsi="Gill Sans MT"/>
          <w:bCs/>
          <w:color w:val="000000"/>
          <w:sz w:val="22"/>
          <w:lang w:val="pl-PL" w:eastAsia="pl-PL"/>
        </w:rPr>
        <w:t>Operatorzy odniosą korzyści z wielu funkcji, które zwiększają wydajność i bezpieczeństwo, takich jak automatyczna klimatyzacja i ogrzewanie czy szybkozłącze, które umożliwia szybką zmianę osprzętu przez operatora na terenie robót. Personalizowane elektro-hydrauliczne elementy sterowania oraz elektroniczna tablica przyrządów z ustawieniami obwodu dodatkowego AUX1, AUX2 i AUX3 zapewniają operatorom wysoki stopień dostosowania maszyny do własnych metod pracy i kontroli nad przepływem zadań.</w:t>
      </w:r>
    </w:p>
    <w:p w14:paraId="7EC29688" w14:textId="77777777" w:rsidR="00064A79" w:rsidRPr="00064A79" w:rsidRDefault="00064A79" w:rsidP="00064A79">
      <w:pPr>
        <w:pStyle w:val="NormalWeb"/>
        <w:rPr>
          <w:rStyle w:val="HeaderChar"/>
          <w:rFonts w:ascii="Gill Sans MT" w:eastAsiaTheme="minorEastAsia" w:hAnsi="Gill Sans MT"/>
          <w:bCs/>
          <w:color w:val="000000"/>
          <w:sz w:val="22"/>
          <w:lang w:val="pl-PL" w:eastAsia="pl-PL"/>
        </w:rPr>
      </w:pPr>
      <w:r w:rsidRPr="00064A79">
        <w:rPr>
          <w:rStyle w:val="HeaderChar"/>
          <w:rFonts w:ascii="Gill Sans MT" w:eastAsiaTheme="minorEastAsia" w:hAnsi="Gill Sans MT"/>
          <w:bCs/>
          <w:color w:val="000000"/>
          <w:sz w:val="22"/>
          <w:lang w:val="pl-PL" w:eastAsia="pl-PL"/>
        </w:rPr>
        <w:t xml:space="preserve">Światła robocze na wysięgniku, na pokrywie z przodu po prawej stronie oraz z przodu kabiny, oświetlenie w kabinie, wygodny fotel z opcjonalnym zawieszeniem pneumatycznym, ogrzewanie, a także dodatkowe dźwignie sterowania pneumatycznego to wszystko elementy opracowane z myślą o komforcie i bezpieczeństwie operatora. Opcjonalne funkcje zabezpieczające przed kradzieżą, kamera cofania oraz dodatkowe światła robocze z tyłu kabiny zwiększają spokój użytkownika. </w:t>
      </w:r>
    </w:p>
    <w:p w14:paraId="0A15E86B" w14:textId="77777777" w:rsidR="00064A79" w:rsidRPr="00064A79" w:rsidRDefault="00064A79" w:rsidP="00064A79">
      <w:pPr>
        <w:pStyle w:val="NormalWeb"/>
        <w:rPr>
          <w:rStyle w:val="HeaderChar"/>
          <w:rFonts w:ascii="Gill Sans MT" w:eastAsiaTheme="minorEastAsia" w:hAnsi="Gill Sans MT"/>
          <w:bCs/>
          <w:color w:val="000000"/>
          <w:sz w:val="22"/>
          <w:lang w:val="pl-PL" w:eastAsia="pl-PL"/>
        </w:rPr>
      </w:pPr>
      <w:r w:rsidRPr="00064A79">
        <w:rPr>
          <w:rStyle w:val="HeaderChar"/>
          <w:rFonts w:ascii="Gill Sans MT" w:eastAsiaTheme="minorEastAsia" w:hAnsi="Gill Sans MT"/>
          <w:bCs/>
          <w:color w:val="000000"/>
          <w:sz w:val="22"/>
          <w:lang w:val="pl-PL" w:eastAsia="pl-PL"/>
        </w:rPr>
        <w:lastRenderedPageBreak/>
        <w:t xml:space="preserve">I wreszcie, opcjonalne radio DAB, technologia Bluetooth, port USB, obsługa kart pamięci SD/SDHC i dodatkowe złącze AUX-IN podkreślają wysoki komfort maszyny. </w:t>
      </w:r>
    </w:p>
    <w:p w14:paraId="0581F644" w14:textId="77777777" w:rsidR="00064A79" w:rsidRPr="00064A79" w:rsidRDefault="00064A79" w:rsidP="00064A79">
      <w:pPr>
        <w:pStyle w:val="NormalWeb"/>
        <w:rPr>
          <w:rStyle w:val="HeaderChar"/>
          <w:rFonts w:ascii="Gill Sans MT" w:eastAsiaTheme="minorEastAsia" w:hAnsi="Gill Sans MT"/>
          <w:bCs/>
          <w:color w:val="000000"/>
          <w:sz w:val="22"/>
          <w:lang w:val="pl-PL" w:eastAsia="pl-PL"/>
        </w:rPr>
      </w:pPr>
      <w:r w:rsidRPr="00064A79">
        <w:rPr>
          <w:rStyle w:val="HeaderChar"/>
          <w:rFonts w:ascii="Gill Sans MT" w:eastAsiaTheme="minorEastAsia" w:hAnsi="Gill Sans MT"/>
          <w:b/>
          <w:color w:val="000000"/>
          <w:sz w:val="22"/>
          <w:lang w:val="pl-PL" w:eastAsia="pl-PL"/>
        </w:rPr>
        <w:t>Zmaksymalizowany okres eksploatacji i większy spokój użytkownika dzięki pakietowi usług CASE® Service Solutions</w:t>
      </w:r>
      <w:r w:rsidRPr="00064A79">
        <w:rPr>
          <w:rStyle w:val="HeaderChar"/>
          <w:rFonts w:ascii="Gill Sans MT" w:eastAsiaTheme="minorEastAsia" w:hAnsi="Gill Sans MT"/>
          <w:bCs/>
          <w:color w:val="000000"/>
          <w:sz w:val="22"/>
          <w:lang w:val="pl-PL" w:eastAsia="pl-PL"/>
        </w:rPr>
        <w:t xml:space="preserve"> </w:t>
      </w:r>
    </w:p>
    <w:p w14:paraId="65D13451" w14:textId="77777777" w:rsidR="00064A79" w:rsidRPr="00064A79" w:rsidRDefault="00064A79" w:rsidP="00064A79">
      <w:pPr>
        <w:pStyle w:val="NormalWeb"/>
        <w:rPr>
          <w:rStyle w:val="HeaderChar"/>
          <w:rFonts w:ascii="Gill Sans MT" w:eastAsiaTheme="minorEastAsia" w:hAnsi="Gill Sans MT"/>
          <w:bCs/>
          <w:color w:val="000000"/>
          <w:sz w:val="22"/>
          <w:lang w:val="pl-PL" w:eastAsia="pl-PL"/>
        </w:rPr>
      </w:pPr>
      <w:r w:rsidRPr="00064A79">
        <w:rPr>
          <w:rStyle w:val="HeaderChar"/>
          <w:rFonts w:ascii="Gill Sans MT" w:eastAsiaTheme="minorEastAsia" w:hAnsi="Gill Sans MT"/>
          <w:bCs/>
          <w:color w:val="000000"/>
          <w:sz w:val="22"/>
          <w:lang w:val="pl-PL" w:eastAsia="pl-PL"/>
        </w:rPr>
        <w:t xml:space="preserve">Dla dodatkowego zwiększenia elastyczności, wydajności i dochodowości oraz wydłużenia czasu eksploatacji atrakcyjnej serii minikoparek D, CASE oferuje szereg powiązanych i oddzielnych usług posprzedażowych CASE Service Solutions, które wspierają klientów w korzystaniu ze sprzętu CASE. </w:t>
      </w:r>
    </w:p>
    <w:p w14:paraId="25D0E84F" w14:textId="77777777" w:rsidR="00064A79" w:rsidRPr="00064A79" w:rsidRDefault="00064A79" w:rsidP="00064A79">
      <w:pPr>
        <w:pStyle w:val="NormalWeb"/>
        <w:rPr>
          <w:rStyle w:val="HeaderChar"/>
          <w:rFonts w:ascii="Gill Sans MT" w:eastAsiaTheme="minorEastAsia" w:hAnsi="Gill Sans MT"/>
          <w:bCs/>
          <w:color w:val="000000"/>
          <w:sz w:val="22"/>
          <w:lang w:val="pl-PL" w:eastAsia="pl-PL"/>
        </w:rPr>
      </w:pPr>
      <w:r w:rsidRPr="00064A79">
        <w:rPr>
          <w:rStyle w:val="HeaderChar"/>
          <w:rFonts w:ascii="Gill Sans MT" w:eastAsiaTheme="minorEastAsia" w:hAnsi="Gill Sans MT"/>
          <w:bCs/>
          <w:color w:val="000000"/>
          <w:sz w:val="22"/>
          <w:lang w:val="pl-PL" w:eastAsia="pl-PL"/>
        </w:rPr>
        <w:t>Menedżerowie floty pojazdów mogą korzystać z geolokalizacji, zabezpieczeń floty z technologią geofence, alertów o nieupoważnionym użyciu oraz elastycznych raportów w kompleksowym narzędziu zarządzania flotą CASE SiteWatchTM. To potężne narzędzie obejmuje kluczowe wskaźniki wydajności (KPI), takie jak zużycie paliwa, stopień wykorzystania, godziny robocze oraz czas przestojów, dzięki czemu można monitorować i maksymalizować wydajność i dochodowość sprzętu. Dostęp do danych jest ułatwiony dzięki portalowi internetowemu.</w:t>
      </w:r>
    </w:p>
    <w:p w14:paraId="5A6CF338" w14:textId="77777777" w:rsidR="00064A79" w:rsidRPr="00064A79" w:rsidRDefault="00064A79" w:rsidP="00064A79">
      <w:pPr>
        <w:pStyle w:val="NormalWeb"/>
        <w:rPr>
          <w:rStyle w:val="HeaderChar"/>
          <w:rFonts w:ascii="Gill Sans MT" w:eastAsiaTheme="minorEastAsia" w:hAnsi="Gill Sans MT"/>
          <w:bCs/>
          <w:color w:val="000000"/>
          <w:sz w:val="22"/>
          <w:lang w:val="pl-PL" w:eastAsia="pl-PL"/>
        </w:rPr>
      </w:pPr>
      <w:r w:rsidRPr="00064A79">
        <w:rPr>
          <w:rStyle w:val="HeaderChar"/>
          <w:rFonts w:ascii="Gill Sans MT" w:eastAsiaTheme="minorEastAsia" w:hAnsi="Gill Sans MT"/>
          <w:bCs/>
          <w:color w:val="000000"/>
          <w:sz w:val="22"/>
          <w:lang w:val="pl-PL" w:eastAsia="pl-PL"/>
        </w:rPr>
        <w:t>CASE SiteConnect ulepsza dane telemetryczne wykorzystywane przez zespół Uptime Center firmy CASE, aby przekazywać dealerom ostrzeżenia w oparciu o osiągi maszyny. Dzięki temu można podejmować szybkie działanie korygujące, ograniczające przestoje do minimum – wówczas dealerzy uzyskują zdalny dostęp do danych maszyny, reagując na problemy szybciej. Dealerzy mogą zatem proaktywnie zarządzać maszynami klientów, dbając o ich ciągłą dostępność. Zarówno platforma SiteWatch, jak i SiteConnect jest dostępna dla nowych minikoparek D wprowadzanych od 2023 roku.</w:t>
      </w:r>
    </w:p>
    <w:p w14:paraId="20BB80FD" w14:textId="77777777" w:rsidR="00064A79" w:rsidRPr="00064A79" w:rsidRDefault="00064A79" w:rsidP="00064A79">
      <w:pPr>
        <w:pStyle w:val="NormalWeb"/>
        <w:rPr>
          <w:rStyle w:val="HeaderChar"/>
          <w:rFonts w:ascii="Gill Sans MT" w:eastAsiaTheme="minorEastAsia" w:hAnsi="Gill Sans MT"/>
          <w:bCs/>
          <w:color w:val="000000"/>
          <w:sz w:val="22"/>
          <w:lang w:val="pl-PL" w:eastAsia="pl-PL"/>
        </w:rPr>
      </w:pPr>
      <w:r w:rsidRPr="00064A79">
        <w:rPr>
          <w:rStyle w:val="HeaderChar"/>
          <w:rFonts w:ascii="Gill Sans MT" w:eastAsiaTheme="minorEastAsia" w:hAnsi="Gill Sans MT"/>
          <w:bCs/>
          <w:color w:val="000000"/>
          <w:sz w:val="22"/>
          <w:lang w:val="pl-PL" w:eastAsia="pl-PL"/>
        </w:rPr>
        <w:t>Aby dodatkowo zwiększyć elastyczność, wydajność i dochodowość oraz wydłużyć czas pracy bez przestojów nowej serii minikoparek D, CASE utworzyła zestawy serwisowe Service Maintenance Kit dla wszystkich modeli.</w:t>
      </w:r>
    </w:p>
    <w:p w14:paraId="545034FD" w14:textId="77777777" w:rsidR="00064A79" w:rsidRPr="00064A79" w:rsidRDefault="00064A79" w:rsidP="00064A79">
      <w:pPr>
        <w:pStyle w:val="NormalWeb"/>
        <w:rPr>
          <w:rStyle w:val="HeaderChar"/>
          <w:rFonts w:ascii="Gill Sans MT" w:eastAsiaTheme="minorEastAsia" w:hAnsi="Gill Sans MT"/>
          <w:bCs/>
          <w:color w:val="000000"/>
          <w:sz w:val="22"/>
          <w:lang w:val="pl-PL" w:eastAsia="pl-PL"/>
        </w:rPr>
      </w:pPr>
      <w:r w:rsidRPr="00064A79">
        <w:rPr>
          <w:rStyle w:val="HeaderChar"/>
          <w:rFonts w:ascii="Gill Sans MT" w:eastAsiaTheme="minorEastAsia" w:hAnsi="Gill Sans MT"/>
          <w:bCs/>
          <w:color w:val="000000"/>
          <w:sz w:val="22"/>
          <w:lang w:val="pl-PL" w:eastAsia="pl-PL"/>
        </w:rPr>
        <w:t>„CASE Service Solutions utrzymuje sprzęt naszych klientów w najlepszym stanie technicznym, zapewniając jego maksymalną dostępność, bez nieoczekiwanych kosztów, a przy tym dbając o naszą maksymalną dochodowość”, podkreśla Peter Garry, dyrektor, Europe Construction Parts and Service. „Podstawowe rozwiązania są dostępne teraz, planujemy także wdrożyć CASE Service Solutions w całej Europie dla wszystkich maszyn, gdy tylko staną się one dostępne”.</w:t>
      </w:r>
    </w:p>
    <w:p w14:paraId="240DA7E7" w14:textId="77777777" w:rsidR="00064A79" w:rsidRPr="00064A79" w:rsidRDefault="00064A79" w:rsidP="00064A79">
      <w:pPr>
        <w:pStyle w:val="NormalWeb"/>
        <w:rPr>
          <w:rStyle w:val="HeaderChar"/>
          <w:rFonts w:ascii="Gill Sans MT" w:eastAsiaTheme="minorEastAsia" w:hAnsi="Gill Sans MT"/>
          <w:b/>
          <w:color w:val="000000"/>
          <w:sz w:val="22"/>
          <w:lang w:val="pl-PL" w:eastAsia="pl-PL"/>
        </w:rPr>
      </w:pPr>
      <w:r w:rsidRPr="00064A79">
        <w:rPr>
          <w:rStyle w:val="HeaderChar"/>
          <w:rFonts w:ascii="Gill Sans MT" w:eastAsiaTheme="minorEastAsia" w:hAnsi="Gill Sans MT"/>
          <w:b/>
          <w:color w:val="000000"/>
          <w:sz w:val="22"/>
          <w:lang w:val="pl-PL" w:eastAsia="pl-PL"/>
        </w:rPr>
        <w:t>Doświadcz korzyści z nowych minikoparek serii D podczas wydarzeń dla klientów</w:t>
      </w:r>
    </w:p>
    <w:p w14:paraId="3AEF022A" w14:textId="77777777" w:rsidR="00064A79" w:rsidRPr="00064A79" w:rsidRDefault="00064A79" w:rsidP="00064A79">
      <w:pPr>
        <w:pStyle w:val="NormalWeb"/>
        <w:rPr>
          <w:rStyle w:val="HeaderChar"/>
          <w:rFonts w:ascii="Gill Sans MT" w:eastAsiaTheme="minorEastAsia" w:hAnsi="Gill Sans MT"/>
          <w:bCs/>
          <w:color w:val="000000"/>
          <w:sz w:val="22"/>
          <w:lang w:val="pl-PL" w:eastAsia="pl-PL"/>
        </w:rPr>
      </w:pPr>
      <w:r w:rsidRPr="00064A79">
        <w:rPr>
          <w:rStyle w:val="HeaderChar"/>
          <w:rFonts w:ascii="Gill Sans MT" w:eastAsiaTheme="minorEastAsia" w:hAnsi="Gill Sans MT"/>
          <w:bCs/>
          <w:color w:val="000000"/>
          <w:sz w:val="22"/>
          <w:lang w:val="pl-PL" w:eastAsia="pl-PL"/>
        </w:rPr>
        <w:t xml:space="preserve">Aby w pełni poznać korzyści, jakie oferują nowe maszyny w praktyce, wszyscy klienci CASE oraz media są zaproszeni na wydarzenia, które odbędą się w maju i czerwcu, kiedy to będzie można wypróbować i kupić maszyny: </w:t>
      </w:r>
    </w:p>
    <w:p w14:paraId="7E32D667" w14:textId="77777777" w:rsidR="00064A79" w:rsidRPr="00064A79" w:rsidRDefault="00064A79" w:rsidP="00064A79">
      <w:pPr>
        <w:pStyle w:val="NormalWeb"/>
        <w:rPr>
          <w:rStyle w:val="HeaderChar"/>
          <w:rFonts w:ascii="Gill Sans MT" w:eastAsiaTheme="minorEastAsia" w:hAnsi="Gill Sans MT"/>
          <w:bCs/>
          <w:color w:val="000000"/>
          <w:sz w:val="22"/>
          <w:lang w:val="pl-PL" w:eastAsia="pl-PL"/>
        </w:rPr>
      </w:pPr>
      <w:r w:rsidRPr="00064A79">
        <w:rPr>
          <w:rStyle w:val="HeaderChar"/>
          <w:rFonts w:ascii="Gill Sans MT" w:eastAsiaTheme="minorEastAsia" w:hAnsi="Gill Sans MT"/>
          <w:bCs/>
          <w:color w:val="000000"/>
          <w:sz w:val="22"/>
          <w:lang w:val="pl-PL" w:eastAsia="pl-PL"/>
        </w:rPr>
        <w:t>•</w:t>
      </w:r>
      <w:r w:rsidRPr="00064A79">
        <w:rPr>
          <w:rStyle w:val="HeaderChar"/>
          <w:rFonts w:ascii="Gill Sans MT" w:eastAsiaTheme="minorEastAsia" w:hAnsi="Gill Sans MT"/>
          <w:bCs/>
          <w:color w:val="000000"/>
          <w:sz w:val="22"/>
          <w:lang w:val="pl-PL" w:eastAsia="pl-PL"/>
        </w:rPr>
        <w:tab/>
        <w:t>Ettringen, Niemcy: 14-15 maja</w:t>
      </w:r>
    </w:p>
    <w:p w14:paraId="7F5822C1" w14:textId="77777777" w:rsidR="00064A79" w:rsidRPr="00064A79" w:rsidRDefault="00064A79" w:rsidP="00064A79">
      <w:pPr>
        <w:pStyle w:val="NormalWeb"/>
        <w:rPr>
          <w:rStyle w:val="HeaderChar"/>
          <w:rFonts w:ascii="Gill Sans MT" w:eastAsiaTheme="minorEastAsia" w:hAnsi="Gill Sans MT"/>
          <w:bCs/>
          <w:color w:val="000000"/>
          <w:sz w:val="22"/>
          <w:lang w:val="pl-PL" w:eastAsia="pl-PL"/>
        </w:rPr>
      </w:pPr>
      <w:r w:rsidRPr="00064A79">
        <w:rPr>
          <w:rStyle w:val="HeaderChar"/>
          <w:rFonts w:ascii="Gill Sans MT" w:eastAsiaTheme="minorEastAsia" w:hAnsi="Gill Sans MT"/>
          <w:bCs/>
          <w:color w:val="000000"/>
          <w:sz w:val="22"/>
          <w:lang w:val="pl-PL" w:eastAsia="pl-PL"/>
        </w:rPr>
        <w:t>•</w:t>
      </w:r>
      <w:r w:rsidRPr="00064A79">
        <w:rPr>
          <w:rStyle w:val="HeaderChar"/>
          <w:rFonts w:ascii="Gill Sans MT" w:eastAsiaTheme="minorEastAsia" w:hAnsi="Gill Sans MT"/>
          <w:bCs/>
          <w:color w:val="000000"/>
          <w:sz w:val="22"/>
          <w:lang w:val="pl-PL" w:eastAsia="pl-PL"/>
        </w:rPr>
        <w:tab/>
        <w:t>Calenzano (Florencja), Włochy: 27-28 maja</w:t>
      </w:r>
    </w:p>
    <w:p w14:paraId="733A3155" w14:textId="77777777" w:rsidR="00064A79" w:rsidRPr="00064A79" w:rsidRDefault="00064A79" w:rsidP="00064A79">
      <w:pPr>
        <w:pStyle w:val="NormalWeb"/>
        <w:rPr>
          <w:rStyle w:val="HeaderChar"/>
          <w:rFonts w:ascii="Gill Sans MT" w:eastAsiaTheme="minorEastAsia" w:hAnsi="Gill Sans MT"/>
          <w:bCs/>
          <w:color w:val="000000"/>
          <w:sz w:val="22"/>
          <w:lang w:val="pl-PL" w:eastAsia="pl-PL"/>
        </w:rPr>
      </w:pPr>
      <w:r w:rsidRPr="00064A79">
        <w:rPr>
          <w:rStyle w:val="HeaderChar"/>
          <w:rFonts w:ascii="Gill Sans MT" w:eastAsiaTheme="minorEastAsia" w:hAnsi="Gill Sans MT"/>
          <w:bCs/>
          <w:color w:val="000000"/>
          <w:sz w:val="22"/>
          <w:lang w:val="pl-PL" w:eastAsia="pl-PL"/>
        </w:rPr>
        <w:lastRenderedPageBreak/>
        <w:t>•</w:t>
      </w:r>
      <w:r w:rsidRPr="00064A79">
        <w:rPr>
          <w:rStyle w:val="HeaderChar"/>
          <w:rFonts w:ascii="Gill Sans MT" w:eastAsiaTheme="minorEastAsia" w:hAnsi="Gill Sans MT"/>
          <w:bCs/>
          <w:color w:val="000000"/>
          <w:sz w:val="22"/>
          <w:lang w:val="pl-PL" w:eastAsia="pl-PL"/>
        </w:rPr>
        <w:tab/>
        <w:t>Quilly (Nantes), Francja: 8-9 czerwca</w:t>
      </w:r>
    </w:p>
    <w:p w14:paraId="42ED9E08" w14:textId="77777777" w:rsidR="00064A79" w:rsidRPr="00064A79" w:rsidRDefault="00064A79" w:rsidP="00064A79">
      <w:pPr>
        <w:pStyle w:val="NormalWeb"/>
        <w:rPr>
          <w:rStyle w:val="HeaderChar"/>
          <w:rFonts w:ascii="Gill Sans MT" w:eastAsiaTheme="minorEastAsia" w:hAnsi="Gill Sans MT"/>
          <w:bCs/>
          <w:color w:val="000000"/>
          <w:sz w:val="22"/>
          <w:lang w:val="pl-PL" w:eastAsia="pl-PL"/>
        </w:rPr>
      </w:pPr>
      <w:r w:rsidRPr="00064A79">
        <w:rPr>
          <w:rStyle w:val="HeaderChar"/>
          <w:rFonts w:ascii="Gill Sans MT" w:eastAsiaTheme="minorEastAsia" w:hAnsi="Gill Sans MT"/>
          <w:bCs/>
          <w:color w:val="000000"/>
          <w:sz w:val="22"/>
          <w:lang w:val="pl-PL" w:eastAsia="pl-PL"/>
        </w:rPr>
        <w:t>Pełne szczegóły można uzyskać na stronie CASE:</w:t>
      </w:r>
    </w:p>
    <w:p w14:paraId="30D4742C" w14:textId="77777777" w:rsidR="00064A79" w:rsidRPr="00064A79" w:rsidRDefault="00064A79" w:rsidP="00064A79">
      <w:pPr>
        <w:pStyle w:val="NormalWeb"/>
        <w:rPr>
          <w:rStyle w:val="HeaderChar"/>
          <w:rFonts w:ascii="Gill Sans MT" w:eastAsiaTheme="minorEastAsia" w:hAnsi="Gill Sans MT"/>
          <w:bCs/>
          <w:color w:val="000000"/>
          <w:sz w:val="22"/>
          <w:lang w:val="pl-PL" w:eastAsia="pl-PL"/>
        </w:rPr>
      </w:pPr>
      <w:r w:rsidRPr="00064A79">
        <w:rPr>
          <w:rStyle w:val="HeaderChar"/>
          <w:rFonts w:ascii="Gill Sans MT" w:eastAsiaTheme="minorEastAsia" w:hAnsi="Gill Sans MT"/>
          <w:bCs/>
          <w:color w:val="000000"/>
          <w:sz w:val="22"/>
          <w:lang w:val="pl-PL" w:eastAsia="pl-PL"/>
        </w:rPr>
        <w:t xml:space="preserve">https://www.casepromotion.com/roadshow/ </w:t>
      </w:r>
    </w:p>
    <w:p w14:paraId="7A10AFB6" w14:textId="6179789A" w:rsidR="000E5D92" w:rsidRPr="00064A79" w:rsidRDefault="00064A79" w:rsidP="00064A79">
      <w:pPr>
        <w:pStyle w:val="NormalWeb"/>
        <w:rPr>
          <w:rStyle w:val="HeaderChar"/>
          <w:rFonts w:ascii="Gill Sans MT" w:eastAsiaTheme="minorEastAsia" w:hAnsi="Gill Sans MT"/>
          <w:bCs/>
          <w:color w:val="000000"/>
          <w:sz w:val="22"/>
          <w:lang w:val="pl-PL" w:eastAsia="pl-PL"/>
        </w:rPr>
      </w:pPr>
      <w:r w:rsidRPr="00064A79">
        <w:rPr>
          <w:rStyle w:val="HeaderChar"/>
          <w:rFonts w:ascii="Gill Sans MT" w:eastAsiaTheme="minorEastAsia" w:hAnsi="Gill Sans MT"/>
          <w:bCs/>
          <w:color w:val="000000"/>
          <w:sz w:val="22"/>
          <w:lang w:val="pl-PL" w:eastAsia="pl-PL"/>
        </w:rPr>
        <w:t>Oprócz oglądania i testowania maszyn, odwiedzający mogą korzystać ze statycznych wystaw i gier rodeo, które demonstrują zwinność i elastyczność nowych modeli. Nowe minikoparki serii D można także obejrzeć podczas targów Hillhead 2022 w Wielkiej Brytanii, w dniach 21-23 czerwca.</w:t>
      </w:r>
    </w:p>
    <w:p w14:paraId="3326E53D" w14:textId="21F2A0CD" w:rsidR="00FF0AEB" w:rsidRPr="00064A79" w:rsidRDefault="00FF0AEB" w:rsidP="00FF0AEB">
      <w:pPr>
        <w:pStyle w:val="NormalWeb"/>
        <w:jc w:val="center"/>
        <w:rPr>
          <w:rFonts w:ascii="Gill Sans MT" w:hAnsi="Gill Sans MT"/>
          <w:color w:val="000000"/>
          <w:sz w:val="22"/>
          <w:szCs w:val="22"/>
          <w:lang w:val="pl-PL"/>
        </w:rPr>
      </w:pPr>
      <w:r w:rsidRPr="00064A79">
        <w:rPr>
          <w:rStyle w:val="HeaderChar"/>
          <w:rFonts w:ascii="Gill Sans MT" w:eastAsiaTheme="minorEastAsia" w:hAnsi="Gill Sans MT"/>
          <w:b/>
          <w:color w:val="000000"/>
          <w:sz w:val="22"/>
          <w:lang w:val="pl-PL" w:eastAsia="pl-PL"/>
        </w:rPr>
        <w:t>KONIEC</w:t>
      </w:r>
    </w:p>
    <w:p w14:paraId="76351525" w14:textId="743D9579" w:rsidR="00FF0AEB" w:rsidRPr="00064A79" w:rsidRDefault="00FF0AEB" w:rsidP="00FF0AEB">
      <w:pPr>
        <w:rPr>
          <w:rFonts w:ascii="Gill Sans MT" w:hAnsi="Gill Sans MT" w:cs="Arial"/>
          <w:b/>
          <w:sz w:val="19"/>
          <w:szCs w:val="19"/>
          <w:lang w:val="pl-PL"/>
        </w:rPr>
      </w:pPr>
      <w:r w:rsidRPr="00064A79">
        <w:rPr>
          <w:rFonts w:ascii="Gill Sans MT" w:hAnsi="Gill Sans MT"/>
          <w:b/>
          <w:sz w:val="19"/>
          <w:lang w:val="pl-PL" w:eastAsia="pl-PL"/>
        </w:rPr>
        <w:t xml:space="preserve">Uwagi dla </w:t>
      </w:r>
      <w:r w:rsidR="00AA220B" w:rsidRPr="00064A79">
        <w:rPr>
          <w:rFonts w:ascii="Gill Sans MT" w:hAnsi="Gill Sans MT"/>
          <w:b/>
          <w:sz w:val="19"/>
          <w:lang w:val="pl-PL" w:eastAsia="pl-PL"/>
        </w:rPr>
        <w:t>R</w:t>
      </w:r>
      <w:r w:rsidRPr="00064A79">
        <w:rPr>
          <w:rFonts w:ascii="Gill Sans MT" w:hAnsi="Gill Sans MT"/>
          <w:b/>
          <w:sz w:val="19"/>
          <w:lang w:val="pl-PL" w:eastAsia="pl-PL"/>
        </w:rPr>
        <w:t>edaktorów:</w:t>
      </w:r>
    </w:p>
    <w:bookmarkEnd w:id="0"/>
    <w:p w14:paraId="152C5FDF" w14:textId="77777777" w:rsidR="00064A79" w:rsidRPr="00064A79" w:rsidRDefault="00064A79" w:rsidP="00064A79">
      <w:pPr>
        <w:rPr>
          <w:rFonts w:ascii="Gill Sans MT" w:hAnsi="Gill Sans MT"/>
          <w:sz w:val="19"/>
          <w:szCs w:val="19"/>
          <w:lang w:val="pl-PL"/>
        </w:rPr>
      </w:pPr>
      <w:r w:rsidRPr="00064A79">
        <w:rPr>
          <w:rFonts w:ascii="Gill Sans MT" w:hAnsi="Gill Sans MT"/>
          <w:sz w:val="19"/>
          <w:szCs w:val="19"/>
          <w:lang w:val="pl-PL"/>
        </w:rPr>
        <w:t>Nowe funkcje i korzyści dotyczące 20 modeli minikoparek serii D marki CASE to m.in.:</w:t>
      </w:r>
    </w:p>
    <w:p w14:paraId="6266A24F" w14:textId="77777777" w:rsidR="00064A79" w:rsidRPr="00064A79" w:rsidRDefault="00064A79" w:rsidP="00064A79">
      <w:pPr>
        <w:rPr>
          <w:rFonts w:ascii="Gill Sans MT" w:hAnsi="Gill Sans MT"/>
          <w:sz w:val="19"/>
          <w:szCs w:val="19"/>
          <w:lang w:val="pl-PL"/>
        </w:rPr>
      </w:pPr>
      <w:r w:rsidRPr="00064A79">
        <w:rPr>
          <w:rFonts w:ascii="Gill Sans MT" w:hAnsi="Gill Sans MT"/>
          <w:b/>
          <w:bCs/>
          <w:sz w:val="19"/>
          <w:szCs w:val="19"/>
          <w:lang w:val="pl-PL"/>
        </w:rPr>
        <w:t xml:space="preserve">Uniwersalność, zwinność i elastyczność: </w:t>
      </w:r>
      <w:r w:rsidRPr="00064A79">
        <w:rPr>
          <w:rFonts w:ascii="Gill Sans MT" w:hAnsi="Gill Sans MT"/>
          <w:sz w:val="19"/>
          <w:szCs w:val="19"/>
          <w:lang w:val="pl-PL"/>
        </w:rPr>
        <w:t xml:space="preserve">20 modeli, od 1,2-tonowych po 6,2-tonowe, z wysięgnikiem dwuczęściowym, konstrukcją ZTS oraz krótkim promieniem skrętu dostępnymi w standardzie dla modeli 2- do 6-tonowych, w tym wyjątkowo w modelach 2-tonowych, dzięki czemu seria D maszyn może pracować w dowolnych warunkach, spełniając wszelkie potrzeby klientów. </w:t>
      </w:r>
    </w:p>
    <w:p w14:paraId="166DA8AA" w14:textId="77777777" w:rsidR="00064A79" w:rsidRPr="00064A79" w:rsidRDefault="00064A79" w:rsidP="00064A79">
      <w:pPr>
        <w:rPr>
          <w:rFonts w:ascii="Gill Sans MT" w:hAnsi="Gill Sans MT"/>
          <w:sz w:val="19"/>
          <w:szCs w:val="19"/>
          <w:lang w:val="pl-PL"/>
        </w:rPr>
      </w:pPr>
      <w:r w:rsidRPr="00064A79">
        <w:rPr>
          <w:rFonts w:ascii="Gill Sans MT" w:hAnsi="Gill Sans MT"/>
          <w:b/>
          <w:bCs/>
          <w:sz w:val="19"/>
          <w:szCs w:val="19"/>
          <w:lang w:val="pl-PL"/>
        </w:rPr>
        <w:t xml:space="preserve">Wydajność, zrównoważony charakter, możliwości serwisowania i całkowity koszt posiadania (TCO): </w:t>
      </w:r>
      <w:r w:rsidRPr="00064A79">
        <w:rPr>
          <w:rFonts w:ascii="Gill Sans MT" w:hAnsi="Gill Sans MT"/>
          <w:sz w:val="19"/>
          <w:szCs w:val="19"/>
          <w:lang w:val="pl-PL"/>
        </w:rPr>
        <w:t xml:space="preserve">Proporcjonalne sterowanie prędkością obrotową silnika z funkcją automatycznego wyboru biegu jałowego dla zwiększenia oszczędności paliwa, pochylana kabina (konstrukcja ROP/TOPS - FOPS poz. 1), dwukierunkowy wentylator hydrauliczny z funkcją automatycznej obsługi, elektryczna pompa tankowania paliwa z funkcją automatycznego wyłączania. Dodatkowa technologia zabezpieczająca przed kradzieżą dla ochrony inwestycji. </w:t>
      </w:r>
    </w:p>
    <w:p w14:paraId="07EC2DD2" w14:textId="77777777" w:rsidR="00064A79" w:rsidRPr="00064A79" w:rsidRDefault="00064A79" w:rsidP="00064A79">
      <w:pPr>
        <w:rPr>
          <w:rFonts w:ascii="Gill Sans MT" w:hAnsi="Gill Sans MT"/>
          <w:sz w:val="19"/>
          <w:szCs w:val="19"/>
          <w:lang w:val="pl-PL"/>
        </w:rPr>
      </w:pPr>
      <w:r w:rsidRPr="00064A79">
        <w:rPr>
          <w:rFonts w:ascii="Gill Sans MT" w:hAnsi="Gill Sans MT"/>
          <w:b/>
          <w:bCs/>
          <w:sz w:val="19"/>
          <w:szCs w:val="19"/>
          <w:lang w:val="pl-PL"/>
        </w:rPr>
        <w:t>Możliwość personalizacji zwiększającej wydajność i dochodowość maszyn:</w:t>
      </w:r>
      <w:r w:rsidRPr="00064A79">
        <w:rPr>
          <w:rFonts w:ascii="Gill Sans MT" w:hAnsi="Gill Sans MT"/>
          <w:sz w:val="19"/>
          <w:szCs w:val="19"/>
          <w:lang w:val="pl-PL"/>
        </w:rPr>
        <w:t xml:space="preserve"> Biodegradowalne oleje hydrauliczne i smary, centralny układ smarowania automatycznego z wysokim przepływem dla takiego osprzętu, jak kosiarki bijakowe, oraz opcjonalne szybkozłącze hydrauliczne jedno- i dwukierunkowe, a także standardowe szybkozłącza hydrauliczne i mechaniczne. Dostępny szereg elementów osprzętu dla każdego zastosowania. </w:t>
      </w:r>
    </w:p>
    <w:p w14:paraId="0AA67D47" w14:textId="77777777" w:rsidR="00064A79" w:rsidRPr="00064A79" w:rsidRDefault="00064A79" w:rsidP="00064A79">
      <w:pPr>
        <w:rPr>
          <w:rFonts w:ascii="Gill Sans MT" w:hAnsi="Gill Sans MT"/>
          <w:sz w:val="19"/>
          <w:szCs w:val="19"/>
          <w:lang w:val="pl-PL"/>
        </w:rPr>
      </w:pPr>
      <w:r w:rsidRPr="00064A79">
        <w:rPr>
          <w:rFonts w:ascii="Gill Sans MT" w:hAnsi="Gill Sans MT"/>
          <w:b/>
          <w:bCs/>
          <w:sz w:val="19"/>
          <w:szCs w:val="19"/>
          <w:lang w:val="pl-PL"/>
        </w:rPr>
        <w:t>Ulepszenie wydajności poprzez zwiększone komfort, bezpieczeństwo i możliwości sterowania operatora:</w:t>
      </w:r>
      <w:r w:rsidRPr="00064A79">
        <w:rPr>
          <w:rFonts w:ascii="Gill Sans MT" w:hAnsi="Gill Sans MT"/>
          <w:sz w:val="19"/>
          <w:szCs w:val="19"/>
          <w:lang w:val="pl-PL"/>
        </w:rPr>
        <w:t xml:space="preserve"> Automatyczny układ klimatyzacji i ogrzewania, automatyczne oświetlenie w kabinie, standardowe światła robocze LED (na wysięgniku, na pokrywie z przodu po prawej stronie i z przodu kabiny), a także dodatkowe światła robocze LED (z tyłu kabiny) oraz kamera cofania. Wygodny fotel z opcjonalnym zawieszeniem pneumatycznym oraz ogrzewaniem, a także dźwignie sterowania pneumatycznego. Elektroniczna tablica przyrządów z konfiguracjami przepływu obwodu dodatkowego AUX1, AUX2 i AUX3, która pozwala dostosować maszynę do metod pracy operatora. I wreszcie, operatorzy mogą bezpiecznie korzystać z komunikacji i rozrywki w kabinie dzięki dodatkowym radiu DAB, technologii Bluetooth, portowi USB, obsłudze kart pamięci SD/SDHC i złączu AUX-IN.</w:t>
      </w:r>
    </w:p>
    <w:p w14:paraId="1294CF24" w14:textId="77777777" w:rsidR="00212D54" w:rsidRPr="00064A79" w:rsidRDefault="00212D54" w:rsidP="00094788">
      <w:pPr>
        <w:pStyle w:val="HTMLPreformatted"/>
        <w:shd w:val="clear" w:color="auto" w:fill="FFFFFF"/>
        <w:rPr>
          <w:rFonts w:ascii="Gill Sans MT" w:hAnsi="Gill Sans MT" w:cs="Arial"/>
          <w:sz w:val="19"/>
          <w:szCs w:val="19"/>
          <w:lang w:val="pl-PL"/>
        </w:rPr>
      </w:pPr>
    </w:p>
    <w:p w14:paraId="01BE7D82" w14:textId="4A28997B" w:rsidR="00094788" w:rsidRPr="00064A79" w:rsidRDefault="00430AE6" w:rsidP="00094788">
      <w:pPr>
        <w:pStyle w:val="HTMLPreformatted"/>
        <w:shd w:val="clear" w:color="auto" w:fill="FFFFFF"/>
        <w:rPr>
          <w:rFonts w:ascii="Gill Sans MT" w:hAnsi="Gill Sans MT" w:cs="Arial"/>
          <w:color w:val="212121"/>
          <w:sz w:val="19"/>
          <w:szCs w:val="19"/>
          <w:lang w:val="pl-PL"/>
        </w:rPr>
      </w:pPr>
      <w:r w:rsidRPr="00064A79">
        <w:rPr>
          <w:rFonts w:ascii="Gill Sans MT" w:hAnsi="Gill Sans MT" w:cs="Arial"/>
          <w:sz w:val="19"/>
          <w:szCs w:val="19"/>
          <w:lang w:val="pl-PL"/>
        </w:rPr>
        <w:t>Odwiedź naszą stronę internetową, aby pobrać pliki tekstowe, wideo i graficzne w wysokiej rozdzielczości (JPG 300 DPI, CMYK) oraz inne informacje prasowe CASE</w:t>
      </w:r>
      <w:r w:rsidR="00094788" w:rsidRPr="00064A79">
        <w:rPr>
          <w:rFonts w:ascii="Gill Sans MT" w:hAnsi="Gill Sans MT" w:cs="Arial"/>
          <w:color w:val="212121"/>
          <w:sz w:val="19"/>
          <w:szCs w:val="19"/>
          <w:lang w:val="pl-PL"/>
        </w:rPr>
        <w:t xml:space="preserve">: </w:t>
      </w:r>
      <w:hyperlink r:id="rId12" w:history="1">
        <w:r w:rsidR="00094788" w:rsidRPr="00064A79">
          <w:rPr>
            <w:rStyle w:val="Hyperlink"/>
            <w:rFonts w:ascii="Gill Sans MT" w:hAnsi="Gill Sans MT" w:cs="Arial"/>
            <w:sz w:val="19"/>
            <w:szCs w:val="19"/>
            <w:lang w:val="pl-PL"/>
          </w:rPr>
          <w:t>www.casecetools.com/press-kit</w:t>
        </w:r>
      </w:hyperlink>
      <w:r w:rsidR="00094788" w:rsidRPr="00064A79">
        <w:rPr>
          <w:rFonts w:ascii="Gill Sans MT" w:hAnsi="Gill Sans MT" w:cs="Arial"/>
          <w:color w:val="212121"/>
          <w:sz w:val="19"/>
          <w:szCs w:val="19"/>
          <w:lang w:val="pl-PL"/>
        </w:rPr>
        <w:t xml:space="preserve"> </w:t>
      </w:r>
    </w:p>
    <w:p w14:paraId="1A11E346" w14:textId="267C9511" w:rsidR="00A27749" w:rsidRPr="00064A79" w:rsidRDefault="00A27749" w:rsidP="00094788">
      <w:pPr>
        <w:pStyle w:val="HTMLPreformatted"/>
        <w:shd w:val="clear" w:color="auto" w:fill="FFFFFF"/>
        <w:rPr>
          <w:rFonts w:ascii="Gill Sans MT" w:hAnsi="Gill Sans MT" w:cs="Arial"/>
          <w:color w:val="212121"/>
          <w:sz w:val="19"/>
          <w:szCs w:val="19"/>
          <w:lang w:val="pl-PL"/>
        </w:rPr>
      </w:pPr>
    </w:p>
    <w:p w14:paraId="146F73D6" w14:textId="51006E28" w:rsidR="00A27749" w:rsidRPr="00064A79" w:rsidRDefault="00430AE6" w:rsidP="00094788">
      <w:pPr>
        <w:pStyle w:val="HTMLPreformatted"/>
        <w:shd w:val="clear" w:color="auto" w:fill="FFFFFF"/>
        <w:rPr>
          <w:rFonts w:ascii="Gill Sans MT" w:hAnsi="Gill Sans MT" w:cs="Arial"/>
          <w:color w:val="212121"/>
          <w:sz w:val="19"/>
          <w:szCs w:val="19"/>
          <w:lang w:val="pl-PL"/>
        </w:rPr>
      </w:pPr>
      <w:bookmarkStart w:id="2" w:name="_Hlk527712544"/>
      <w:r w:rsidRPr="00064A79">
        <w:rPr>
          <w:rFonts w:ascii="Gill Sans MT" w:hAnsi="Gill Sans MT" w:cs="Arial"/>
          <w:color w:val="212121"/>
          <w:sz w:val="19"/>
          <w:szCs w:val="19"/>
          <w:lang w:val="pl-PL"/>
        </w:rPr>
        <w:t>Obserwuj CASE’a poprzez</w:t>
      </w:r>
      <w:r w:rsidR="00A27749" w:rsidRPr="00064A79">
        <w:rPr>
          <w:rFonts w:ascii="Gill Sans MT" w:hAnsi="Gill Sans MT" w:cs="Arial"/>
          <w:color w:val="212121"/>
          <w:sz w:val="19"/>
          <w:szCs w:val="19"/>
          <w:lang w:val="pl-PL"/>
        </w:rPr>
        <w:t>:</w:t>
      </w:r>
    </w:p>
    <w:p w14:paraId="42993AFB" w14:textId="77777777" w:rsidR="00A27749" w:rsidRPr="00064A79" w:rsidRDefault="00A27749" w:rsidP="00094788">
      <w:pPr>
        <w:pStyle w:val="HTMLPreformatted"/>
        <w:shd w:val="clear" w:color="auto" w:fill="FFFFFF"/>
        <w:rPr>
          <w:rFonts w:ascii="Gill Sans MT" w:hAnsi="Gill Sans MT" w:cs="Arial"/>
          <w:color w:val="212121"/>
          <w:sz w:val="19"/>
          <w:szCs w:val="19"/>
          <w:lang w:val="pl-PL"/>
        </w:rPr>
      </w:pPr>
    </w:p>
    <w:p w14:paraId="03E1A68B" w14:textId="16DEE183" w:rsidR="00094788" w:rsidRPr="00064A79" w:rsidRDefault="00A27749" w:rsidP="00A27749">
      <w:pPr>
        <w:rPr>
          <w:rFonts w:ascii="Gill Sans MT" w:eastAsia="Calibri" w:hAnsi="Gill Sans MT"/>
          <w:lang w:val="pl-PL"/>
        </w:rPr>
      </w:pPr>
      <w:bookmarkStart w:id="3" w:name="_Hlk527712055"/>
      <w:r w:rsidRPr="00064A79">
        <w:rPr>
          <w:noProof/>
          <w:lang w:val="pl-PL" w:eastAsia="pl-PL"/>
        </w:rPr>
        <w:drawing>
          <wp:inline distT="0" distB="0" distL="0" distR="0" wp14:anchorId="2E0DA63E" wp14:editId="339331E8">
            <wp:extent cx="196850" cy="196850"/>
            <wp:effectExtent l="0" t="0" r="0" b="0"/>
            <wp:docPr id="11" name="Picture 11" descr="cid:image001.gif@01D123A8.097F9890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850" cy="19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64A79">
        <w:rPr>
          <w:rFonts w:ascii="Gill Sans MT" w:eastAsia="Calibri" w:hAnsi="Gill Sans MT"/>
          <w:lang w:val="pl-PL" w:eastAsia="it-IT"/>
        </w:rPr>
        <w:t xml:space="preserve">   </w:t>
      </w:r>
      <w:r w:rsidRPr="00064A79">
        <w:rPr>
          <w:noProof/>
          <w:lang w:val="pl-PL" w:eastAsia="pl-PL"/>
        </w:rPr>
        <w:drawing>
          <wp:inline distT="0" distB="0" distL="0" distR="0" wp14:anchorId="5172AF14" wp14:editId="4A4436D8">
            <wp:extent cx="196850" cy="196850"/>
            <wp:effectExtent l="0" t="0" r="0" b="0"/>
            <wp:docPr id="12" name="Picture 12" descr="cid:image002.gif@01D123A8.097F9890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850" cy="19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64A79">
        <w:rPr>
          <w:rFonts w:ascii="Gill Sans MT" w:eastAsia="Calibri" w:hAnsi="Gill Sans MT"/>
          <w:lang w:val="pl-PL" w:eastAsia="it-IT"/>
        </w:rPr>
        <w:t xml:space="preserve"> </w:t>
      </w:r>
      <w:r w:rsidRPr="00064A79">
        <w:rPr>
          <w:rFonts w:ascii="Gill Sans MT" w:eastAsia="Calibri" w:hAnsi="Gill Sans MT"/>
          <w:lang w:val="pl-PL"/>
        </w:rPr>
        <w:t xml:space="preserve">  </w:t>
      </w:r>
      <w:r w:rsidRPr="00064A79">
        <w:rPr>
          <w:noProof/>
          <w:lang w:val="pl-PL" w:eastAsia="pl-PL"/>
        </w:rPr>
        <w:drawing>
          <wp:inline distT="0" distB="0" distL="0" distR="0" wp14:anchorId="794159BC" wp14:editId="5A06778C">
            <wp:extent cx="196850" cy="196850"/>
            <wp:effectExtent l="0" t="0" r="0" b="0"/>
            <wp:docPr id="13" name="Picture 13" descr="cid:image003.gif@01D123A8.097F9890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850" cy="19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64A79">
        <w:rPr>
          <w:rFonts w:ascii="Gill Sans MT" w:eastAsia="Calibri" w:hAnsi="Gill Sans MT"/>
          <w:lang w:val="pl-PL"/>
        </w:rPr>
        <w:t xml:space="preserve">   </w:t>
      </w:r>
      <w:r w:rsidRPr="00064A79">
        <w:rPr>
          <w:noProof/>
          <w:lang w:val="pl-PL" w:eastAsia="pl-PL"/>
        </w:rPr>
        <w:drawing>
          <wp:inline distT="0" distB="0" distL="0" distR="0" wp14:anchorId="70CBCFCB" wp14:editId="1B8DACE8">
            <wp:extent cx="196850" cy="196850"/>
            <wp:effectExtent l="0" t="0" r="0" b="0"/>
            <wp:docPr id="14" name="Picture 14" descr="cid:image004.gif@01D123A8.097F9890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850" cy="19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1"/>
    <w:bookmarkEnd w:id="2"/>
    <w:bookmarkEnd w:id="3"/>
    <w:p w14:paraId="6CB68A8B" w14:textId="0EAAD763" w:rsidR="00094788" w:rsidRPr="00064A79" w:rsidRDefault="00094788" w:rsidP="00094788">
      <w:pPr>
        <w:jc w:val="both"/>
        <w:rPr>
          <w:rFonts w:ascii="Gill Sans MT" w:hAnsi="Gill Sans MT" w:cs="Arial"/>
          <w:i/>
          <w:sz w:val="16"/>
          <w:szCs w:val="16"/>
          <w:lang w:val="pl-PL"/>
        </w:rPr>
      </w:pPr>
      <w:r w:rsidRPr="00064A79">
        <w:rPr>
          <w:rFonts w:ascii="Gill Sans MT" w:hAnsi="Gill Sans MT" w:cs="Arial"/>
          <w:i/>
          <w:sz w:val="16"/>
          <w:szCs w:val="16"/>
          <w:lang w:val="pl-PL"/>
        </w:rPr>
        <w:lastRenderedPageBreak/>
        <w:t xml:space="preserve">CASE Construction Equipment sells and supports a full line of construction equipment around the world, including the No. 1 loader/backhoes, excavators, motor graders, wheel loaders, vibratory compaction rollers, crawler dozers, skid steers, compact track loaders and rough-terrain forklifts. Through CASE dealers, customers have access to a true professional partner with world-class equipment and aftermarket support, industry-leading warranties and flexible financing. More information is available at </w:t>
      </w:r>
      <w:hyperlink r:id="rId21" w:history="1">
        <w:r w:rsidRPr="00064A79">
          <w:rPr>
            <w:rStyle w:val="Hyperlink"/>
            <w:rFonts w:ascii="Gill Sans MT" w:hAnsi="Gill Sans MT" w:cs="Arial"/>
            <w:i/>
            <w:sz w:val="16"/>
            <w:szCs w:val="16"/>
            <w:lang w:val="pl-PL"/>
          </w:rPr>
          <w:t>www.CASEce.com</w:t>
        </w:r>
      </w:hyperlink>
      <w:r w:rsidRPr="00064A79">
        <w:rPr>
          <w:rFonts w:ascii="Gill Sans MT" w:hAnsi="Gill Sans MT" w:cs="Arial"/>
          <w:i/>
          <w:sz w:val="16"/>
          <w:szCs w:val="16"/>
          <w:lang w:val="pl-PL"/>
        </w:rPr>
        <w:t>.</w:t>
      </w:r>
    </w:p>
    <w:p w14:paraId="179DAE80" w14:textId="50134780" w:rsidR="00094788" w:rsidRPr="00064A79" w:rsidRDefault="00094788" w:rsidP="003330ED">
      <w:pPr>
        <w:jc w:val="both"/>
        <w:rPr>
          <w:rFonts w:ascii="Gill Sans MT" w:hAnsi="Gill Sans MT" w:cs="Arial"/>
          <w:i/>
          <w:sz w:val="16"/>
          <w:szCs w:val="16"/>
          <w:lang w:val="pl-PL"/>
        </w:rPr>
      </w:pPr>
      <w:r w:rsidRPr="00064A79">
        <w:rPr>
          <w:rFonts w:ascii="Gill Sans MT" w:hAnsi="Gill Sans MT" w:cs="Arial"/>
          <w:i/>
          <w:sz w:val="16"/>
          <w:szCs w:val="16"/>
          <w:lang w:val="pl-PL"/>
        </w:rPr>
        <w:t xml:space="preserve">CASE Construction Equipment is a brand of CNH Industrial N.V., a World leader in Capital Goods listed on the New York Stock Exchange (NYSE: CNHI) and on the Mercato Telematico Azionario of the Borsa Italiana (MI: CNHI). More information about CNH Industrial can be found online at </w:t>
      </w:r>
      <w:hyperlink r:id="rId22" w:history="1">
        <w:r w:rsidRPr="00064A79">
          <w:rPr>
            <w:rStyle w:val="Hyperlink"/>
            <w:rFonts w:ascii="Gill Sans MT" w:hAnsi="Gill Sans MT" w:cs="Arial"/>
            <w:i/>
            <w:sz w:val="16"/>
            <w:szCs w:val="16"/>
            <w:lang w:val="pl-PL"/>
          </w:rPr>
          <w:t>www.cnhindustrial.com</w:t>
        </w:r>
      </w:hyperlink>
      <w:r w:rsidRPr="00064A79">
        <w:rPr>
          <w:rStyle w:val="Hyperlink"/>
          <w:rFonts w:ascii="Gill Sans MT" w:hAnsi="Gill Sans MT" w:cs="Arial"/>
          <w:lang w:val="pl-PL"/>
        </w:rPr>
        <w:t>.</w:t>
      </w:r>
    </w:p>
    <w:p w14:paraId="173C1655" w14:textId="7601A114" w:rsidR="00094788" w:rsidRPr="00064A79" w:rsidRDefault="00094788" w:rsidP="009666D1">
      <w:pPr>
        <w:pStyle w:val="01TESTO"/>
        <w:rPr>
          <w:rFonts w:ascii="Gill Sans MT" w:hAnsi="Gill Sans MT" w:cs="Arial"/>
          <w:b/>
          <w:szCs w:val="19"/>
          <w:lang w:val="pl-PL"/>
        </w:rPr>
      </w:pPr>
      <w:r w:rsidRPr="00064A79">
        <w:rPr>
          <w:rFonts w:ascii="Gill Sans MT" w:hAnsi="Gill Sans MT" w:cs="Arial"/>
          <w:b/>
          <w:szCs w:val="19"/>
          <w:lang w:val="pl-PL"/>
        </w:rPr>
        <w:t>For more information contact:</w:t>
      </w:r>
    </w:p>
    <w:p w14:paraId="77316656" w14:textId="3E1F1166" w:rsidR="00094788" w:rsidRPr="00064A79" w:rsidRDefault="00A87F46" w:rsidP="4CB130A3">
      <w:pPr>
        <w:spacing w:after="0" w:line="240" w:lineRule="auto"/>
        <w:rPr>
          <w:rFonts w:ascii="Gill Sans MT" w:hAnsi="Gill Sans MT" w:cs="Arial"/>
          <w:sz w:val="19"/>
          <w:szCs w:val="19"/>
          <w:lang w:val="pl-PL" w:eastAsia="es-ES"/>
        </w:rPr>
      </w:pPr>
      <w:r w:rsidRPr="00064A79">
        <w:rPr>
          <w:rFonts w:ascii="Gill Sans MT" w:hAnsi="Gill Sans MT" w:cs="Arial"/>
          <w:sz w:val="19"/>
          <w:szCs w:val="19"/>
          <w:lang w:val="pl-PL" w:eastAsia="es-ES"/>
        </w:rPr>
        <w:t>Mike Doggwiler</w:t>
      </w:r>
      <w:r w:rsidR="00094788" w:rsidRPr="00064A79">
        <w:rPr>
          <w:rFonts w:ascii="Gill Sans MT" w:hAnsi="Gill Sans MT" w:cs="Arial"/>
          <w:sz w:val="19"/>
          <w:szCs w:val="19"/>
          <w:lang w:val="pl-PL" w:eastAsia="es-ES"/>
        </w:rPr>
        <w:t xml:space="preserve"> – Copestone on behalf of CASE Construction Equipment</w:t>
      </w:r>
    </w:p>
    <w:p w14:paraId="6F941F18" w14:textId="5EFD9C7B" w:rsidR="00094788" w:rsidRPr="00064A79" w:rsidRDefault="0000666D" w:rsidP="009666D1">
      <w:pPr>
        <w:spacing w:after="0" w:line="240" w:lineRule="auto"/>
        <w:rPr>
          <w:lang w:val="pl-PL"/>
        </w:rPr>
      </w:pPr>
      <w:r w:rsidRPr="00064A79">
        <w:rPr>
          <w:rFonts w:ascii="Gill Sans MT" w:hAnsi="Gill Sans MT"/>
          <w:color w:val="333333"/>
          <w:sz w:val="19"/>
          <w:szCs w:val="19"/>
          <w:lang w:val="pl-PL" w:eastAsia="en-GB"/>
        </w:rPr>
        <w:t>+44 (0) 7</w:t>
      </w:r>
      <w:r w:rsidR="00A87F46" w:rsidRPr="00064A79">
        <w:rPr>
          <w:rFonts w:ascii="Gill Sans MT" w:hAnsi="Gill Sans MT"/>
          <w:color w:val="333333"/>
          <w:sz w:val="19"/>
          <w:szCs w:val="19"/>
          <w:lang w:val="pl-PL" w:eastAsia="en-GB"/>
        </w:rPr>
        <w:t>802 196766</w:t>
      </w:r>
    </w:p>
    <w:p w14:paraId="025AEF8B" w14:textId="0D23729C" w:rsidR="0000666D" w:rsidRPr="00064A79" w:rsidRDefault="00793335" w:rsidP="009666D1">
      <w:pPr>
        <w:spacing w:after="0" w:line="240" w:lineRule="auto"/>
        <w:rPr>
          <w:rFonts w:ascii="Gill Sans MT" w:hAnsi="Gill Sans MT" w:cs="Arial"/>
          <w:sz w:val="19"/>
          <w:szCs w:val="19"/>
          <w:lang w:val="pl-PL"/>
        </w:rPr>
      </w:pPr>
      <w:hyperlink r:id="rId23" w:history="1">
        <w:r w:rsidR="00A87F46" w:rsidRPr="00064A79">
          <w:rPr>
            <w:rStyle w:val="Hyperlink"/>
            <w:rFonts w:ascii="Gill Sans MT" w:hAnsi="Gill Sans MT"/>
            <w:sz w:val="19"/>
            <w:szCs w:val="19"/>
            <w:lang w:val="pl-PL"/>
          </w:rPr>
          <w:t>mike@copestone.uk.com</w:t>
        </w:r>
      </w:hyperlink>
      <w:r w:rsidR="0000666D" w:rsidRPr="00064A79">
        <w:rPr>
          <w:rFonts w:ascii="Gill Sans MT" w:hAnsi="Gill Sans MT"/>
          <w:sz w:val="19"/>
          <w:szCs w:val="19"/>
          <w:lang w:val="pl-PL"/>
        </w:rPr>
        <w:t xml:space="preserve"> </w:t>
      </w:r>
    </w:p>
    <w:p w14:paraId="62A9E366" w14:textId="77777777" w:rsidR="003452F5" w:rsidRPr="00064A79" w:rsidRDefault="003452F5">
      <w:pPr>
        <w:rPr>
          <w:lang w:val="pl-PL"/>
        </w:rPr>
      </w:pPr>
    </w:p>
    <w:sectPr w:rsidR="003452F5" w:rsidRPr="00064A79" w:rsidSect="006941EF">
      <w:headerReference w:type="default" r:id="rId24"/>
      <w:footerReference w:type="default" r:id="rId25"/>
      <w:headerReference w:type="first" r:id="rId26"/>
      <w:footerReference w:type="first" r:id="rId27"/>
      <w:pgSz w:w="12240" w:h="15840"/>
      <w:pgMar w:top="1980" w:right="851" w:bottom="1440" w:left="2552" w:header="540" w:footer="56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E591A8" w14:textId="77777777" w:rsidR="00793335" w:rsidRDefault="00793335">
      <w:pPr>
        <w:spacing w:after="0" w:line="240" w:lineRule="auto"/>
      </w:pPr>
      <w:r>
        <w:separator/>
      </w:r>
    </w:p>
  </w:endnote>
  <w:endnote w:type="continuationSeparator" w:id="0">
    <w:p w14:paraId="72248B1E" w14:textId="77777777" w:rsidR="00793335" w:rsidRDefault="007933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3AC28" w14:textId="77777777" w:rsidR="00C11491" w:rsidRDefault="00793335" w:rsidP="00842584">
    <w:pPr>
      <w:pStyle w:val="Footer"/>
    </w:pPr>
  </w:p>
  <w:p w14:paraId="31F029F6" w14:textId="77777777" w:rsidR="00C11491" w:rsidRDefault="00793335" w:rsidP="00842584">
    <w:pPr>
      <w:pStyle w:val="Footer"/>
    </w:pPr>
  </w:p>
  <w:p w14:paraId="65869B61" w14:textId="77777777" w:rsidR="00C11491" w:rsidRDefault="00793335" w:rsidP="00842584">
    <w:pPr>
      <w:pStyle w:val="Footer"/>
    </w:pPr>
  </w:p>
  <w:p w14:paraId="7803D058" w14:textId="77777777" w:rsidR="00C11491" w:rsidRDefault="00793335" w:rsidP="0084258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77985" w14:textId="77777777" w:rsidR="00C11491" w:rsidRPr="00C7201A" w:rsidRDefault="00793335" w:rsidP="00842584">
    <w:pPr>
      <w:pStyle w:val="04FOOTER"/>
      <w:framePr w:w="182" w:h="177" w:hRule="exact" w:wrap="around" w:vAnchor="page" w:hAnchor="page" w:x="442" w:y="1638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9E1BB3" w14:textId="77777777" w:rsidR="00793335" w:rsidRDefault="00793335">
      <w:pPr>
        <w:spacing w:after="0" w:line="240" w:lineRule="auto"/>
      </w:pPr>
      <w:r>
        <w:separator/>
      </w:r>
    </w:p>
  </w:footnote>
  <w:footnote w:type="continuationSeparator" w:id="0">
    <w:p w14:paraId="31757DCB" w14:textId="77777777" w:rsidR="00793335" w:rsidRDefault="007933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980C34" w14:textId="77777777" w:rsidR="00C11491" w:rsidRDefault="007A2771" w:rsidP="00842584">
    <w:r>
      <w:rPr>
        <w:noProof/>
        <w:lang w:val="pl-PL" w:eastAsia="pl-PL"/>
      </w:rPr>
      <w:drawing>
        <wp:anchor distT="0" distB="0" distL="114300" distR="114300" simplePos="0" relativeHeight="251663360" behindDoc="1" locked="0" layoutInCell="1" allowOverlap="1" wp14:anchorId="56ED3E4E" wp14:editId="667C175E">
          <wp:simplePos x="0" y="0"/>
          <wp:positionH relativeFrom="margin">
            <wp:posOffset>-1352550</wp:posOffset>
          </wp:positionH>
          <wp:positionV relativeFrom="margin">
            <wp:posOffset>-1197610</wp:posOffset>
          </wp:positionV>
          <wp:extent cx="1236345" cy="444500"/>
          <wp:effectExtent l="0" t="0" r="8255" b="12700"/>
          <wp:wrapNone/>
          <wp:docPr id="7" name="Picture 3" descr="03_CAS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03_CAS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6345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vertAnchor="page" w:horzAnchor="page" w:tblpX="2553" w:tblpY="14403"/>
      <w:tblW w:w="5449" w:type="dxa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614"/>
      <w:gridCol w:w="2835"/>
    </w:tblGrid>
    <w:tr w:rsidR="00C11491" w:rsidRPr="00C7201A" w14:paraId="0801C9B0" w14:textId="77777777">
      <w:trPr>
        <w:trHeight w:val="735"/>
      </w:trPr>
      <w:tc>
        <w:tcPr>
          <w:tcW w:w="2614" w:type="dxa"/>
          <w:shd w:val="clear" w:color="auto" w:fill="auto"/>
          <w:vAlign w:val="bottom"/>
        </w:tcPr>
        <w:p w14:paraId="133F3E8F" w14:textId="77777777" w:rsidR="00C11491" w:rsidRPr="00293E17" w:rsidRDefault="00793335" w:rsidP="00842584">
          <w:pPr>
            <w:pStyle w:val="04FOOTER"/>
            <w:ind w:right="-101"/>
          </w:pPr>
        </w:p>
      </w:tc>
      <w:tc>
        <w:tcPr>
          <w:tcW w:w="2835" w:type="dxa"/>
        </w:tcPr>
        <w:p w14:paraId="7C4FA7A5" w14:textId="77777777" w:rsidR="00C11491" w:rsidRDefault="00793335" w:rsidP="00842584">
          <w:pPr>
            <w:pStyle w:val="04FOOTER"/>
            <w:ind w:right="-101"/>
          </w:pPr>
        </w:p>
        <w:p w14:paraId="16DF71E2" w14:textId="77777777" w:rsidR="00C11491" w:rsidRDefault="00793335" w:rsidP="00842584">
          <w:pPr>
            <w:pStyle w:val="04FOOTER"/>
            <w:ind w:right="-101"/>
          </w:pPr>
        </w:p>
        <w:p w14:paraId="1520B835" w14:textId="77777777" w:rsidR="00C11491" w:rsidRDefault="00793335" w:rsidP="00842584">
          <w:pPr>
            <w:pStyle w:val="04FOOTER"/>
            <w:ind w:right="-101"/>
          </w:pPr>
        </w:p>
        <w:p w14:paraId="23477936" w14:textId="77777777" w:rsidR="00C11491" w:rsidRPr="00293E17" w:rsidRDefault="00793335" w:rsidP="00842584">
          <w:pPr>
            <w:pStyle w:val="04FOOTER"/>
            <w:ind w:right="-101"/>
          </w:pPr>
        </w:p>
      </w:tc>
    </w:tr>
  </w:tbl>
  <w:p w14:paraId="47A319D6" w14:textId="77777777" w:rsidR="00C11491" w:rsidRPr="002C48D5" w:rsidRDefault="007A2771" w:rsidP="00842584">
    <w:pPr>
      <w:rPr>
        <w:rFonts w:ascii="Times New Roman" w:hAnsi="Times New Roman"/>
        <w:snapToGrid w:val="0"/>
        <w:vanish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  <w:r>
      <w:rPr>
        <w:noProof/>
        <w:lang w:val="pl-PL" w:eastAsia="pl-PL"/>
      </w:rPr>
      <w:drawing>
        <wp:anchor distT="0" distB="0" distL="114300" distR="114300" simplePos="0" relativeHeight="251662336" behindDoc="1" locked="0" layoutInCell="1" allowOverlap="1" wp14:anchorId="4199539B" wp14:editId="32292EB6">
          <wp:simplePos x="0" y="0"/>
          <wp:positionH relativeFrom="margin">
            <wp:posOffset>-1340485</wp:posOffset>
          </wp:positionH>
          <wp:positionV relativeFrom="margin">
            <wp:posOffset>-1083310</wp:posOffset>
          </wp:positionV>
          <wp:extent cx="1236345" cy="444500"/>
          <wp:effectExtent l="0" t="0" r="8255" b="12700"/>
          <wp:wrapNone/>
          <wp:docPr id="8" name="Picture 58" descr="03_CAS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8" descr="03_CAS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6345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pl-PL" w:eastAsia="pl-PL"/>
      </w:rPr>
      <w:drawing>
        <wp:anchor distT="0" distB="0" distL="114300" distR="114300" simplePos="0" relativeHeight="251664384" behindDoc="1" locked="0" layoutInCell="1" allowOverlap="1" wp14:anchorId="70F1C7F1" wp14:editId="069061DD">
          <wp:simplePos x="0" y="0"/>
          <wp:positionH relativeFrom="column">
            <wp:posOffset>-996950</wp:posOffset>
          </wp:positionH>
          <wp:positionV relativeFrom="page">
            <wp:posOffset>4345940</wp:posOffset>
          </wp:positionV>
          <wp:extent cx="387350" cy="3239135"/>
          <wp:effectExtent l="0" t="0" r="0" b="12065"/>
          <wp:wrapNone/>
          <wp:docPr id="9" name="Immagine 50" descr="PressRelease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0" descr="PressRelease-0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7350" cy="3239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72309B9" w14:textId="224136DA" w:rsidR="00C11491" w:rsidRDefault="007A2771" w:rsidP="00842584">
    <w:r>
      <w:rPr>
        <w:noProof/>
        <w:lang w:val="pl-PL" w:eastAsia="pl-PL"/>
      </w:rPr>
      <w:drawing>
        <wp:anchor distT="0" distB="0" distL="114300" distR="114300" simplePos="0" relativeHeight="251661312" behindDoc="1" locked="0" layoutInCell="1" allowOverlap="1" wp14:anchorId="6C0711C1" wp14:editId="66411B56">
          <wp:simplePos x="0" y="0"/>
          <wp:positionH relativeFrom="column">
            <wp:posOffset>-1096645</wp:posOffset>
          </wp:positionH>
          <wp:positionV relativeFrom="paragraph">
            <wp:posOffset>3240405</wp:posOffset>
          </wp:positionV>
          <wp:extent cx="622300" cy="368300"/>
          <wp:effectExtent l="0" t="0" r="12700" b="12700"/>
          <wp:wrapNone/>
          <wp:docPr id="10" name="Picture 10" descr="CN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NH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2300" cy="368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pl-PL" w:eastAsia="pl-PL"/>
      </w:rPr>
      <mc:AlternateContent>
        <mc:Choice Requires="wps">
          <w:drawing>
            <wp:anchor distT="4294967294" distB="4294967294" distL="114300" distR="114300" simplePos="0" relativeHeight="251660288" behindDoc="0" locked="0" layoutInCell="1" allowOverlap="1" wp14:anchorId="6AC2A6C1" wp14:editId="48842543">
              <wp:simplePos x="0" y="0"/>
              <wp:positionH relativeFrom="column">
                <wp:posOffset>-1944370</wp:posOffset>
              </wp:positionH>
              <wp:positionV relativeFrom="page">
                <wp:posOffset>3359149</wp:posOffset>
              </wp:positionV>
              <wp:extent cx="685800" cy="0"/>
              <wp:effectExtent l="0" t="0" r="25400" b="25400"/>
              <wp:wrapNone/>
              <wp:docPr id="5" name="Line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" cy="0"/>
                      </a:xfrm>
                      <a:prstGeom prst="line">
                        <a:avLst/>
                      </a:prstGeom>
                      <a:noFill/>
                      <a:ln w="1397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 w14:anchorId="0C316240">
            <v:line id="Line 35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page;mso-width-percent:0;mso-height-percent:0;mso-width-relative:page;mso-height-relative:page" o:spid="_x0000_s1026" strokeweight=".11pt" from="-153.1pt,264.5pt" to="-99.1pt,264.5pt" w14:anchorId="51C2E4C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">
              <w10:wrap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CD38F3"/>
    <w:multiLevelType w:val="hybridMultilevel"/>
    <w:tmpl w:val="209681F2"/>
    <w:lvl w:ilvl="0" w:tplc="040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" w15:restartNumberingAfterBreak="0">
    <w:nsid w:val="373C2F8F"/>
    <w:multiLevelType w:val="hybridMultilevel"/>
    <w:tmpl w:val="DB480500"/>
    <w:lvl w:ilvl="0" w:tplc="2F38E6F4">
      <w:numFmt w:val="bullet"/>
      <w:lvlText w:val="·"/>
      <w:lvlJc w:val="left"/>
      <w:pPr>
        <w:ind w:left="720" w:hanging="360"/>
      </w:pPr>
      <w:rPr>
        <w:rFonts w:ascii="Gill Sans MT" w:eastAsia="Times New Roman" w:hAnsi="Gill Sans M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851EAC"/>
    <w:multiLevelType w:val="hybridMultilevel"/>
    <w:tmpl w:val="A6B4BE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126791"/>
    <w:multiLevelType w:val="hybridMultilevel"/>
    <w:tmpl w:val="CA48A5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0894256">
    <w:abstractNumId w:val="0"/>
  </w:num>
  <w:num w:numId="2" w16cid:durableId="1686638163">
    <w:abstractNumId w:val="2"/>
  </w:num>
  <w:num w:numId="3" w16cid:durableId="853955566">
    <w:abstractNumId w:val="1"/>
  </w:num>
  <w:num w:numId="4" w16cid:durableId="17884233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MDExNLO0MDQwNDEwN7ZQ0lEKTi0uzszPAykwrAUAFT0BMiwAAAA="/>
  </w:docVars>
  <w:rsids>
    <w:rsidRoot w:val="00094788"/>
    <w:rsid w:val="000017D8"/>
    <w:rsid w:val="00004252"/>
    <w:rsid w:val="00005A25"/>
    <w:rsid w:val="0000666D"/>
    <w:rsid w:val="00017229"/>
    <w:rsid w:val="000234E5"/>
    <w:rsid w:val="0003170A"/>
    <w:rsid w:val="00034AD8"/>
    <w:rsid w:val="000500AE"/>
    <w:rsid w:val="00050F6D"/>
    <w:rsid w:val="000537A5"/>
    <w:rsid w:val="00055E29"/>
    <w:rsid w:val="000601F5"/>
    <w:rsid w:val="0006181E"/>
    <w:rsid w:val="00064A79"/>
    <w:rsid w:val="00065A1E"/>
    <w:rsid w:val="00066F7B"/>
    <w:rsid w:val="0007586C"/>
    <w:rsid w:val="00077099"/>
    <w:rsid w:val="000870D4"/>
    <w:rsid w:val="000876FC"/>
    <w:rsid w:val="00094788"/>
    <w:rsid w:val="0009729E"/>
    <w:rsid w:val="000A468C"/>
    <w:rsid w:val="000B3FDA"/>
    <w:rsid w:val="000C10FE"/>
    <w:rsid w:val="000D27EC"/>
    <w:rsid w:val="000D7413"/>
    <w:rsid w:val="000D7C89"/>
    <w:rsid w:val="000E15D3"/>
    <w:rsid w:val="000E5488"/>
    <w:rsid w:val="000E5D92"/>
    <w:rsid w:val="000F0FF3"/>
    <w:rsid w:val="00103596"/>
    <w:rsid w:val="00105240"/>
    <w:rsid w:val="001077FD"/>
    <w:rsid w:val="001134B1"/>
    <w:rsid w:val="001135FD"/>
    <w:rsid w:val="001317AB"/>
    <w:rsid w:val="00135008"/>
    <w:rsid w:val="00153CD2"/>
    <w:rsid w:val="001769E5"/>
    <w:rsid w:val="00183EC6"/>
    <w:rsid w:val="00194C4E"/>
    <w:rsid w:val="001C4A63"/>
    <w:rsid w:val="001D75C1"/>
    <w:rsid w:val="001E5DB3"/>
    <w:rsid w:val="00205DCC"/>
    <w:rsid w:val="0021067E"/>
    <w:rsid w:val="00212D54"/>
    <w:rsid w:val="00234643"/>
    <w:rsid w:val="00245F36"/>
    <w:rsid w:val="00253B63"/>
    <w:rsid w:val="00255182"/>
    <w:rsid w:val="002579C0"/>
    <w:rsid w:val="00264095"/>
    <w:rsid w:val="002845BD"/>
    <w:rsid w:val="00285BDE"/>
    <w:rsid w:val="00286A87"/>
    <w:rsid w:val="002938D4"/>
    <w:rsid w:val="002B1B2D"/>
    <w:rsid w:val="002C3D5E"/>
    <w:rsid w:val="002D252D"/>
    <w:rsid w:val="002E6D45"/>
    <w:rsid w:val="002F42D9"/>
    <w:rsid w:val="002F5E89"/>
    <w:rsid w:val="0030227C"/>
    <w:rsid w:val="00306B10"/>
    <w:rsid w:val="00314047"/>
    <w:rsid w:val="0031651F"/>
    <w:rsid w:val="00320DE7"/>
    <w:rsid w:val="003237DC"/>
    <w:rsid w:val="003248E0"/>
    <w:rsid w:val="003330ED"/>
    <w:rsid w:val="00341AFE"/>
    <w:rsid w:val="003452F5"/>
    <w:rsid w:val="00354682"/>
    <w:rsid w:val="00363D20"/>
    <w:rsid w:val="00367677"/>
    <w:rsid w:val="00395CBC"/>
    <w:rsid w:val="003A4FF4"/>
    <w:rsid w:val="003A67FB"/>
    <w:rsid w:val="003B407B"/>
    <w:rsid w:val="003C055D"/>
    <w:rsid w:val="003F0F64"/>
    <w:rsid w:val="003F10F8"/>
    <w:rsid w:val="003F14E6"/>
    <w:rsid w:val="003F688C"/>
    <w:rsid w:val="003F6F09"/>
    <w:rsid w:val="00405EDE"/>
    <w:rsid w:val="00406B7E"/>
    <w:rsid w:val="00412D8C"/>
    <w:rsid w:val="004216D0"/>
    <w:rsid w:val="00430AE6"/>
    <w:rsid w:val="00434126"/>
    <w:rsid w:val="00450D08"/>
    <w:rsid w:val="00454649"/>
    <w:rsid w:val="004677E5"/>
    <w:rsid w:val="0048184E"/>
    <w:rsid w:val="00481EFE"/>
    <w:rsid w:val="004903F1"/>
    <w:rsid w:val="004A308A"/>
    <w:rsid w:val="004A4736"/>
    <w:rsid w:val="004C2CFC"/>
    <w:rsid w:val="004C6FC9"/>
    <w:rsid w:val="004D2E68"/>
    <w:rsid w:val="004E33F6"/>
    <w:rsid w:val="004E3CC8"/>
    <w:rsid w:val="004F7A9B"/>
    <w:rsid w:val="005027BB"/>
    <w:rsid w:val="00504CD6"/>
    <w:rsid w:val="0050527F"/>
    <w:rsid w:val="00506A56"/>
    <w:rsid w:val="005112DF"/>
    <w:rsid w:val="005117E6"/>
    <w:rsid w:val="00512136"/>
    <w:rsid w:val="005200FF"/>
    <w:rsid w:val="00526D34"/>
    <w:rsid w:val="00527AE2"/>
    <w:rsid w:val="005373DC"/>
    <w:rsid w:val="00541839"/>
    <w:rsid w:val="005441AD"/>
    <w:rsid w:val="00545B42"/>
    <w:rsid w:val="00547A99"/>
    <w:rsid w:val="0055178F"/>
    <w:rsid w:val="00557D0A"/>
    <w:rsid w:val="00582CEC"/>
    <w:rsid w:val="0058425E"/>
    <w:rsid w:val="00585023"/>
    <w:rsid w:val="0058693E"/>
    <w:rsid w:val="0059177B"/>
    <w:rsid w:val="005942E3"/>
    <w:rsid w:val="005A256E"/>
    <w:rsid w:val="005B4AD3"/>
    <w:rsid w:val="005C072F"/>
    <w:rsid w:val="005C41F4"/>
    <w:rsid w:val="005D2EE4"/>
    <w:rsid w:val="005D6E1A"/>
    <w:rsid w:val="005F6730"/>
    <w:rsid w:val="006000A8"/>
    <w:rsid w:val="0060148A"/>
    <w:rsid w:val="006031B9"/>
    <w:rsid w:val="0061413C"/>
    <w:rsid w:val="00627A9F"/>
    <w:rsid w:val="00637BE1"/>
    <w:rsid w:val="00644D48"/>
    <w:rsid w:val="006520EA"/>
    <w:rsid w:val="006555D1"/>
    <w:rsid w:val="0065679B"/>
    <w:rsid w:val="006654A0"/>
    <w:rsid w:val="006656C6"/>
    <w:rsid w:val="0066728F"/>
    <w:rsid w:val="00692F04"/>
    <w:rsid w:val="006B409C"/>
    <w:rsid w:val="006C2332"/>
    <w:rsid w:val="006C476D"/>
    <w:rsid w:val="006D0ACB"/>
    <w:rsid w:val="006D2CBD"/>
    <w:rsid w:val="006D50D7"/>
    <w:rsid w:val="006E4054"/>
    <w:rsid w:val="00705882"/>
    <w:rsid w:val="00710709"/>
    <w:rsid w:val="0071147C"/>
    <w:rsid w:val="00714E83"/>
    <w:rsid w:val="00737011"/>
    <w:rsid w:val="00740152"/>
    <w:rsid w:val="007651FF"/>
    <w:rsid w:val="007746BB"/>
    <w:rsid w:val="00777762"/>
    <w:rsid w:val="00780CE3"/>
    <w:rsid w:val="00780F6A"/>
    <w:rsid w:val="00781870"/>
    <w:rsid w:val="00791242"/>
    <w:rsid w:val="00793335"/>
    <w:rsid w:val="007A2771"/>
    <w:rsid w:val="007A3912"/>
    <w:rsid w:val="007C54C9"/>
    <w:rsid w:val="007D0078"/>
    <w:rsid w:val="007E0E4B"/>
    <w:rsid w:val="007E4307"/>
    <w:rsid w:val="007F4554"/>
    <w:rsid w:val="00805A85"/>
    <w:rsid w:val="008109BB"/>
    <w:rsid w:val="00821387"/>
    <w:rsid w:val="00822CD5"/>
    <w:rsid w:val="00826DFF"/>
    <w:rsid w:val="00831011"/>
    <w:rsid w:val="008346A3"/>
    <w:rsid w:val="00844AFA"/>
    <w:rsid w:val="00855C58"/>
    <w:rsid w:val="008744D2"/>
    <w:rsid w:val="00880AAB"/>
    <w:rsid w:val="008A2B04"/>
    <w:rsid w:val="008B14C7"/>
    <w:rsid w:val="008B2C42"/>
    <w:rsid w:val="008B4FF5"/>
    <w:rsid w:val="008B6E10"/>
    <w:rsid w:val="008C2329"/>
    <w:rsid w:val="008C30D2"/>
    <w:rsid w:val="008F62B4"/>
    <w:rsid w:val="008F64D6"/>
    <w:rsid w:val="009068C6"/>
    <w:rsid w:val="00906CBB"/>
    <w:rsid w:val="00913492"/>
    <w:rsid w:val="00916434"/>
    <w:rsid w:val="00916A18"/>
    <w:rsid w:val="00926677"/>
    <w:rsid w:val="00946148"/>
    <w:rsid w:val="00950484"/>
    <w:rsid w:val="009666D1"/>
    <w:rsid w:val="00967942"/>
    <w:rsid w:val="00987340"/>
    <w:rsid w:val="009952CA"/>
    <w:rsid w:val="009A0903"/>
    <w:rsid w:val="009A4F69"/>
    <w:rsid w:val="009C740E"/>
    <w:rsid w:val="009C753B"/>
    <w:rsid w:val="009D3138"/>
    <w:rsid w:val="009D4E79"/>
    <w:rsid w:val="009D7EDD"/>
    <w:rsid w:val="009E7E94"/>
    <w:rsid w:val="009F2106"/>
    <w:rsid w:val="009F4D5E"/>
    <w:rsid w:val="00A019FF"/>
    <w:rsid w:val="00A04953"/>
    <w:rsid w:val="00A04F55"/>
    <w:rsid w:val="00A0602F"/>
    <w:rsid w:val="00A10080"/>
    <w:rsid w:val="00A26A8A"/>
    <w:rsid w:val="00A27749"/>
    <w:rsid w:val="00A3262F"/>
    <w:rsid w:val="00A50747"/>
    <w:rsid w:val="00A63696"/>
    <w:rsid w:val="00A64824"/>
    <w:rsid w:val="00A66F9E"/>
    <w:rsid w:val="00A70240"/>
    <w:rsid w:val="00A713CA"/>
    <w:rsid w:val="00A87F46"/>
    <w:rsid w:val="00AA220B"/>
    <w:rsid w:val="00AB64BF"/>
    <w:rsid w:val="00AD3604"/>
    <w:rsid w:val="00AE3AC4"/>
    <w:rsid w:val="00B01085"/>
    <w:rsid w:val="00B109F9"/>
    <w:rsid w:val="00B1106E"/>
    <w:rsid w:val="00B1241B"/>
    <w:rsid w:val="00B12B73"/>
    <w:rsid w:val="00B23424"/>
    <w:rsid w:val="00B26ECB"/>
    <w:rsid w:val="00B35C0B"/>
    <w:rsid w:val="00B36502"/>
    <w:rsid w:val="00B427BF"/>
    <w:rsid w:val="00B44F3C"/>
    <w:rsid w:val="00B65068"/>
    <w:rsid w:val="00B84908"/>
    <w:rsid w:val="00B876F6"/>
    <w:rsid w:val="00B8793D"/>
    <w:rsid w:val="00B917D2"/>
    <w:rsid w:val="00B93B9F"/>
    <w:rsid w:val="00B93C95"/>
    <w:rsid w:val="00BA12F1"/>
    <w:rsid w:val="00BA29DC"/>
    <w:rsid w:val="00BB4710"/>
    <w:rsid w:val="00BD28C5"/>
    <w:rsid w:val="00BD5A46"/>
    <w:rsid w:val="00BE1288"/>
    <w:rsid w:val="00BE283B"/>
    <w:rsid w:val="00BE5911"/>
    <w:rsid w:val="00BF2334"/>
    <w:rsid w:val="00BF2C37"/>
    <w:rsid w:val="00BF31C3"/>
    <w:rsid w:val="00BF3DC3"/>
    <w:rsid w:val="00C0401A"/>
    <w:rsid w:val="00C07E74"/>
    <w:rsid w:val="00C16BC6"/>
    <w:rsid w:val="00C328B5"/>
    <w:rsid w:val="00C45E86"/>
    <w:rsid w:val="00C5134F"/>
    <w:rsid w:val="00C67519"/>
    <w:rsid w:val="00C74E95"/>
    <w:rsid w:val="00C8016E"/>
    <w:rsid w:val="00C84279"/>
    <w:rsid w:val="00C86F80"/>
    <w:rsid w:val="00C87BE9"/>
    <w:rsid w:val="00C87F12"/>
    <w:rsid w:val="00CA07E6"/>
    <w:rsid w:val="00CA31F7"/>
    <w:rsid w:val="00CA6C0D"/>
    <w:rsid w:val="00CB51F6"/>
    <w:rsid w:val="00CC1983"/>
    <w:rsid w:val="00CC6DF2"/>
    <w:rsid w:val="00CD1E05"/>
    <w:rsid w:val="00CE777C"/>
    <w:rsid w:val="00CF14F9"/>
    <w:rsid w:val="00CF168B"/>
    <w:rsid w:val="00D07737"/>
    <w:rsid w:val="00D221FF"/>
    <w:rsid w:val="00D27B03"/>
    <w:rsid w:val="00D30FAD"/>
    <w:rsid w:val="00D344BA"/>
    <w:rsid w:val="00D3464A"/>
    <w:rsid w:val="00D7298E"/>
    <w:rsid w:val="00D830B2"/>
    <w:rsid w:val="00D87DE0"/>
    <w:rsid w:val="00D9269A"/>
    <w:rsid w:val="00DB66A2"/>
    <w:rsid w:val="00DC4F54"/>
    <w:rsid w:val="00DE2E05"/>
    <w:rsid w:val="00DE32CE"/>
    <w:rsid w:val="00DE50E8"/>
    <w:rsid w:val="00E12F82"/>
    <w:rsid w:val="00E152B1"/>
    <w:rsid w:val="00E20A34"/>
    <w:rsid w:val="00E20E14"/>
    <w:rsid w:val="00E21D66"/>
    <w:rsid w:val="00E228B9"/>
    <w:rsid w:val="00E308C1"/>
    <w:rsid w:val="00E375A0"/>
    <w:rsid w:val="00E55909"/>
    <w:rsid w:val="00E67BD7"/>
    <w:rsid w:val="00E70A30"/>
    <w:rsid w:val="00E71CDA"/>
    <w:rsid w:val="00E76B21"/>
    <w:rsid w:val="00E76BA8"/>
    <w:rsid w:val="00E84E47"/>
    <w:rsid w:val="00E87C0D"/>
    <w:rsid w:val="00EA1461"/>
    <w:rsid w:val="00EA2E2A"/>
    <w:rsid w:val="00EA3614"/>
    <w:rsid w:val="00EB0134"/>
    <w:rsid w:val="00EB0203"/>
    <w:rsid w:val="00EB14BA"/>
    <w:rsid w:val="00EB3877"/>
    <w:rsid w:val="00EC5DAE"/>
    <w:rsid w:val="00ED1359"/>
    <w:rsid w:val="00ED4138"/>
    <w:rsid w:val="00ED7571"/>
    <w:rsid w:val="00EE7B6F"/>
    <w:rsid w:val="00EE7F50"/>
    <w:rsid w:val="00EF5A48"/>
    <w:rsid w:val="00F11BE4"/>
    <w:rsid w:val="00F216CC"/>
    <w:rsid w:val="00F23EB6"/>
    <w:rsid w:val="00F243D3"/>
    <w:rsid w:val="00F3075C"/>
    <w:rsid w:val="00F41B80"/>
    <w:rsid w:val="00F42C97"/>
    <w:rsid w:val="00F4306E"/>
    <w:rsid w:val="00F43A6F"/>
    <w:rsid w:val="00F45CA3"/>
    <w:rsid w:val="00F52AD2"/>
    <w:rsid w:val="00F61D48"/>
    <w:rsid w:val="00F62F9B"/>
    <w:rsid w:val="00F71E07"/>
    <w:rsid w:val="00F816FC"/>
    <w:rsid w:val="00F84751"/>
    <w:rsid w:val="00F86475"/>
    <w:rsid w:val="00F944F9"/>
    <w:rsid w:val="00F9620E"/>
    <w:rsid w:val="00FA7B03"/>
    <w:rsid w:val="00FB7B99"/>
    <w:rsid w:val="00FD2B18"/>
    <w:rsid w:val="00FE0B2C"/>
    <w:rsid w:val="00FE2DBF"/>
    <w:rsid w:val="00FE6418"/>
    <w:rsid w:val="00FE79E7"/>
    <w:rsid w:val="00FF0AEB"/>
    <w:rsid w:val="00FF108D"/>
    <w:rsid w:val="01300C7C"/>
    <w:rsid w:val="033761BF"/>
    <w:rsid w:val="038D12A8"/>
    <w:rsid w:val="040948D5"/>
    <w:rsid w:val="05C46E4A"/>
    <w:rsid w:val="06215913"/>
    <w:rsid w:val="06B09D13"/>
    <w:rsid w:val="06E49340"/>
    <w:rsid w:val="08A44BCA"/>
    <w:rsid w:val="094D87B8"/>
    <w:rsid w:val="0DD2B50B"/>
    <w:rsid w:val="10CAE34A"/>
    <w:rsid w:val="1418E9E2"/>
    <w:rsid w:val="15E61EF6"/>
    <w:rsid w:val="1928FFC7"/>
    <w:rsid w:val="19E766AF"/>
    <w:rsid w:val="1AF50012"/>
    <w:rsid w:val="1D98D928"/>
    <w:rsid w:val="1EFC10E4"/>
    <w:rsid w:val="249BE258"/>
    <w:rsid w:val="250D7ED7"/>
    <w:rsid w:val="257EBF35"/>
    <w:rsid w:val="274BE83E"/>
    <w:rsid w:val="275D7449"/>
    <w:rsid w:val="27B8AAD9"/>
    <w:rsid w:val="28A43EC7"/>
    <w:rsid w:val="2B5E2757"/>
    <w:rsid w:val="2E868C9D"/>
    <w:rsid w:val="2FDC7AB4"/>
    <w:rsid w:val="311D913A"/>
    <w:rsid w:val="33A53708"/>
    <w:rsid w:val="358CA0B8"/>
    <w:rsid w:val="36CAD2AA"/>
    <w:rsid w:val="385F7FCE"/>
    <w:rsid w:val="3A6011DB"/>
    <w:rsid w:val="3AFF9E6B"/>
    <w:rsid w:val="3CAC15DA"/>
    <w:rsid w:val="3E83880A"/>
    <w:rsid w:val="409C289D"/>
    <w:rsid w:val="42B98F97"/>
    <w:rsid w:val="42DC6F04"/>
    <w:rsid w:val="456F420F"/>
    <w:rsid w:val="4641EF1F"/>
    <w:rsid w:val="470B1270"/>
    <w:rsid w:val="47BCFCB3"/>
    <w:rsid w:val="4884B45B"/>
    <w:rsid w:val="4AB9FDA4"/>
    <w:rsid w:val="4CB130A3"/>
    <w:rsid w:val="4D861F1F"/>
    <w:rsid w:val="4F49A6C8"/>
    <w:rsid w:val="505C15DA"/>
    <w:rsid w:val="5088A303"/>
    <w:rsid w:val="52681F2D"/>
    <w:rsid w:val="52B8B0A8"/>
    <w:rsid w:val="56F19D2C"/>
    <w:rsid w:val="588CD3FA"/>
    <w:rsid w:val="5C5016C0"/>
    <w:rsid w:val="5D363BF8"/>
    <w:rsid w:val="5D4DFDAE"/>
    <w:rsid w:val="5F66E295"/>
    <w:rsid w:val="61ADF325"/>
    <w:rsid w:val="6256C9E1"/>
    <w:rsid w:val="6310ACAD"/>
    <w:rsid w:val="64595674"/>
    <w:rsid w:val="6478198F"/>
    <w:rsid w:val="6479A081"/>
    <w:rsid w:val="64B10225"/>
    <w:rsid w:val="650DD64B"/>
    <w:rsid w:val="66A9A6AC"/>
    <w:rsid w:val="68989DDB"/>
    <w:rsid w:val="692011A3"/>
    <w:rsid w:val="69D00C97"/>
    <w:rsid w:val="69E934F4"/>
    <w:rsid w:val="6ABBE204"/>
    <w:rsid w:val="6B11D6BA"/>
    <w:rsid w:val="6B84A00C"/>
    <w:rsid w:val="6BFA5566"/>
    <w:rsid w:val="6DB8C21F"/>
    <w:rsid w:val="6EFF6056"/>
    <w:rsid w:val="7052E630"/>
    <w:rsid w:val="712B2388"/>
    <w:rsid w:val="72937176"/>
    <w:rsid w:val="74263BBE"/>
    <w:rsid w:val="7462C44A"/>
    <w:rsid w:val="76F67AEB"/>
    <w:rsid w:val="793E22F3"/>
    <w:rsid w:val="7BEA17DA"/>
    <w:rsid w:val="7CA04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482E08"/>
  <w15:docId w15:val="{105224A1-D12B-4132-BDAC-0038311D1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094788"/>
    <w:pPr>
      <w:tabs>
        <w:tab w:val="center" w:pos="4819"/>
        <w:tab w:val="right" w:pos="9638"/>
      </w:tabs>
      <w:spacing w:after="0" w:line="240" w:lineRule="auto"/>
    </w:pPr>
    <w:rPr>
      <w:rFonts w:eastAsiaTheme="minorEastAsia"/>
      <w:lang w:val="en-US" w:eastAsia="zh-CN"/>
    </w:rPr>
  </w:style>
  <w:style w:type="character" w:customStyle="1" w:styleId="FooterChar">
    <w:name w:val="Footer Char"/>
    <w:basedOn w:val="DefaultParagraphFont"/>
    <w:link w:val="Footer"/>
    <w:rsid w:val="00094788"/>
    <w:rPr>
      <w:rFonts w:eastAsiaTheme="minorEastAsia"/>
      <w:lang w:val="en-US" w:eastAsia="zh-CN"/>
    </w:rPr>
  </w:style>
  <w:style w:type="paragraph" w:customStyle="1" w:styleId="04FOOTER">
    <w:name w:val="04_FOOTER"/>
    <w:basedOn w:val="Normal"/>
    <w:rsid w:val="00094788"/>
    <w:pPr>
      <w:spacing w:after="0" w:line="160" w:lineRule="exact"/>
    </w:pPr>
    <w:rPr>
      <w:rFonts w:ascii="Arial" w:eastAsia="Times New Roman" w:hAnsi="Arial" w:cs="Times New Roman"/>
      <w:color w:val="000000"/>
      <w:sz w:val="14"/>
      <w:szCs w:val="20"/>
      <w:lang w:val="en-US" w:eastAsia="it-IT"/>
    </w:rPr>
  </w:style>
  <w:style w:type="character" w:styleId="Hyperlink">
    <w:name w:val="Hyperlink"/>
    <w:unhideWhenUsed/>
    <w:rsid w:val="00094788"/>
    <w:rPr>
      <w:color w:val="0000FF"/>
      <w:u w:val="single"/>
    </w:rPr>
  </w:style>
  <w:style w:type="character" w:customStyle="1" w:styleId="s17">
    <w:name w:val="s17"/>
    <w:basedOn w:val="DefaultParagraphFont"/>
    <w:rsid w:val="00094788"/>
  </w:style>
  <w:style w:type="paragraph" w:customStyle="1" w:styleId="01TESTO">
    <w:name w:val="01_TESTO"/>
    <w:basedOn w:val="Normal"/>
    <w:rsid w:val="00094788"/>
    <w:pPr>
      <w:spacing w:after="0" w:line="300" w:lineRule="exact"/>
    </w:pPr>
    <w:rPr>
      <w:rFonts w:ascii="Arial" w:eastAsia="Times New Roman" w:hAnsi="Arial" w:cs="Times New Roman"/>
      <w:color w:val="000000"/>
      <w:sz w:val="19"/>
      <w:szCs w:val="20"/>
      <w:lang w:val="en-US" w:eastAsia="it-IT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9478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94788"/>
    <w:rPr>
      <w:rFonts w:ascii="Courier New" w:eastAsia="Times New Roman" w:hAnsi="Courier New" w:cs="Courier New"/>
      <w:sz w:val="20"/>
      <w:szCs w:val="20"/>
      <w:lang w:eastAsia="en-GB"/>
    </w:rPr>
  </w:style>
  <w:style w:type="paragraph" w:styleId="CommentText">
    <w:name w:val="annotation text"/>
    <w:basedOn w:val="Normal"/>
    <w:link w:val="CommentTextChar"/>
    <w:unhideWhenUsed/>
    <w:rsid w:val="000537A5"/>
    <w:pPr>
      <w:spacing w:after="0" w:line="300" w:lineRule="exact"/>
    </w:pPr>
    <w:rPr>
      <w:rFonts w:ascii="Arial" w:eastAsia="Times New Roman" w:hAnsi="Arial" w:cs="Times New Roman"/>
      <w:color w:val="000000"/>
      <w:sz w:val="20"/>
      <w:szCs w:val="20"/>
      <w:lang w:val="it-IT" w:eastAsia="it-IT"/>
    </w:rPr>
  </w:style>
  <w:style w:type="character" w:customStyle="1" w:styleId="CommentTextChar">
    <w:name w:val="Comment Text Char"/>
    <w:basedOn w:val="DefaultParagraphFont"/>
    <w:link w:val="CommentText"/>
    <w:rsid w:val="000537A5"/>
    <w:rPr>
      <w:rFonts w:ascii="Arial" w:eastAsia="Times New Roman" w:hAnsi="Arial" w:cs="Times New Roman"/>
      <w:color w:val="000000"/>
      <w:sz w:val="20"/>
      <w:szCs w:val="20"/>
      <w:lang w:val="it-IT" w:eastAsia="it-IT"/>
    </w:rPr>
  </w:style>
  <w:style w:type="paragraph" w:styleId="ListParagraph">
    <w:name w:val="List Paragraph"/>
    <w:basedOn w:val="Normal"/>
    <w:uiPriority w:val="34"/>
    <w:qFormat/>
    <w:rsid w:val="000537A5"/>
    <w:pPr>
      <w:spacing w:after="0" w:line="240" w:lineRule="auto"/>
      <w:ind w:left="720"/>
      <w:contextualSpacing/>
    </w:pPr>
    <w:rPr>
      <w:rFonts w:ascii="Calibri" w:eastAsia="Calibri" w:hAnsi="Calibri" w:cs="Times New Roman"/>
      <w:lang w:val="en-US"/>
    </w:rPr>
  </w:style>
  <w:style w:type="character" w:styleId="CommentReference">
    <w:name w:val="annotation reference"/>
    <w:semiHidden/>
    <w:unhideWhenUsed/>
    <w:rsid w:val="000537A5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37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37A5"/>
    <w:rPr>
      <w:rFonts w:ascii="Segoe UI" w:hAnsi="Segoe UI" w:cs="Segoe UI"/>
      <w:sz w:val="18"/>
      <w:szCs w:val="18"/>
    </w:rPr>
  </w:style>
  <w:style w:type="table" w:styleId="TableGrid">
    <w:name w:val="Table Grid"/>
    <w:aliases w:val="PIEDINO"/>
    <w:basedOn w:val="TableNormal"/>
    <w:uiPriority w:val="59"/>
    <w:rsid w:val="000537A5"/>
    <w:pPr>
      <w:spacing w:after="0" w:line="160" w:lineRule="exact"/>
    </w:pPr>
    <w:rPr>
      <w:rFonts w:ascii="Arial" w:eastAsia="Times New Roman" w:hAnsi="Arial" w:cs="Times New Roman"/>
      <w:color w:val="000000"/>
      <w:sz w:val="15"/>
      <w:szCs w:val="20"/>
      <w:lang w:val="en-US"/>
    </w:rPr>
    <w:tblPr>
      <w:tblInd w:w="0" w:type="nil"/>
      <w:tblCellMar>
        <w:left w:w="0" w:type="dxa"/>
        <w:right w:w="0" w:type="dxa"/>
      </w:tblCellMar>
    </w:tblPr>
    <w:tcPr>
      <w:vAlign w:val="bottom"/>
    </w:tc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C2332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2EE4"/>
    <w:pPr>
      <w:spacing w:after="160" w:line="240" w:lineRule="auto"/>
    </w:pPr>
    <w:rPr>
      <w:rFonts w:asciiTheme="minorHAnsi" w:eastAsiaTheme="minorHAnsi" w:hAnsiTheme="minorHAnsi" w:cstheme="minorBidi"/>
      <w:b/>
      <w:bCs/>
      <w:color w:val="auto"/>
      <w:lang w:val="en-GB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2EE4"/>
    <w:rPr>
      <w:rFonts w:ascii="Arial" w:eastAsia="Times New Roman" w:hAnsi="Arial" w:cs="Times New Roman"/>
      <w:b/>
      <w:bCs/>
      <w:color w:val="000000"/>
      <w:sz w:val="20"/>
      <w:szCs w:val="20"/>
      <w:lang w:val="it-IT" w:eastAsia="it-IT"/>
    </w:rPr>
  </w:style>
  <w:style w:type="paragraph" w:styleId="NormalWeb">
    <w:name w:val="Normal (Web)"/>
    <w:basedOn w:val="Normal"/>
    <w:uiPriority w:val="99"/>
    <w:unhideWhenUsed/>
    <w:rsid w:val="00E71C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BF31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31C3"/>
  </w:style>
  <w:style w:type="paragraph" w:styleId="Revision">
    <w:name w:val="Revision"/>
    <w:hidden/>
    <w:uiPriority w:val="99"/>
    <w:semiHidden/>
    <w:rsid w:val="009F4D5E"/>
    <w:pPr>
      <w:spacing w:after="0" w:line="240" w:lineRule="auto"/>
    </w:pPr>
  </w:style>
  <w:style w:type="paragraph" w:customStyle="1" w:styleId="Body">
    <w:name w:val="Body"/>
    <w:rsid w:val="009F210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Arial Unicode MS" w:hAnsi="Calibri" w:cs="Arial Unicode MS"/>
      <w:color w:val="000000"/>
      <w:sz w:val="24"/>
      <w:szCs w:val="24"/>
      <w:u w:color="000000"/>
      <w:bdr w:val="nil"/>
      <w:lang w:val="en-US" w:eastAsia="en-GB"/>
      <w14:textOutline w14:w="0" w14:cap="flat" w14:cmpd="sng" w14:algn="ctr">
        <w14:noFill/>
        <w14:prstDash w14:val="solid"/>
        <w14:bevel/>
      </w14:textOutline>
    </w:rPr>
  </w:style>
  <w:style w:type="character" w:styleId="Strong">
    <w:name w:val="Strong"/>
    <w:basedOn w:val="DefaultParagraphFont"/>
    <w:uiPriority w:val="22"/>
    <w:qFormat/>
    <w:rsid w:val="001C4A63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0066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356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1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8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1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7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facebook.com/caseconstructionequipment" TargetMode="External"/><Relationship Id="rId18" Type="http://schemas.openxmlformats.org/officeDocument/2006/relationships/image" Target="media/image3.png"/><Relationship Id="rId26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yperlink" Target="http://www.CASEce.com" TargetMode="External"/><Relationship Id="rId7" Type="http://schemas.openxmlformats.org/officeDocument/2006/relationships/styles" Target="styles.xml"/><Relationship Id="rId12" Type="http://schemas.openxmlformats.org/officeDocument/2006/relationships/hyperlink" Target="http://www.casecetools.com/press-kit" TargetMode="External"/><Relationship Id="rId17" Type="http://schemas.openxmlformats.org/officeDocument/2006/relationships/hyperlink" Target="https://www.youtube.com/user/Caseatwork" TargetMode="External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20" Type="http://schemas.openxmlformats.org/officeDocument/2006/relationships/image" Target="media/image4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hyperlink" Target="https://twitter.com/#!/casece" TargetMode="External"/><Relationship Id="rId23" Type="http://schemas.openxmlformats.org/officeDocument/2006/relationships/hyperlink" Target="mailto:mike@copestone.uk.com" TargetMode="External"/><Relationship Id="rId28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hyperlink" Target="https://www.linkedin.com/company/case-construction-equipment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1.png"/><Relationship Id="rId22" Type="http://schemas.openxmlformats.org/officeDocument/2006/relationships/hyperlink" Target="http://www.cnhindustrial.com" TargetMode="External"/><Relationship Id="rId27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84E073D418E04D82F7095C75FFCCF4" ma:contentTypeVersion="14" ma:contentTypeDescription="Create a new document." ma:contentTypeScope="" ma:versionID="e411935fe6e02e14326f6bbef1c9843e">
  <xsd:schema xmlns:xsd="http://www.w3.org/2001/XMLSchema" xmlns:xs="http://www.w3.org/2001/XMLSchema" xmlns:p="http://schemas.microsoft.com/office/2006/metadata/properties" xmlns:ns2="ae82bc55-adb9-499f-a89d-8cc34ff9b62e" xmlns:ns3="ee50a320-7cab-480e-8dab-74586aaed348" targetNamespace="http://schemas.microsoft.com/office/2006/metadata/properties" ma:root="true" ma:fieldsID="25f21176b4c354939e5f67e820659fe3" ns2:_="" ns3:_="">
    <xsd:import namespace="ae82bc55-adb9-499f-a89d-8cc34ff9b62e"/>
    <xsd:import namespace="ee50a320-7cab-480e-8dab-74586aaed3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_Flow_SignoffStatu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82bc55-adb9-499f-a89d-8cc34ff9b6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ign-off status" ma:internalName="Sign_x002d_off_x0020_status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50a320-7cab-480e-8dab-74586aaed34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sisl xmlns:xsi="http://www.w3.org/2001/XMLSchema-instance" xmlns:xsd="http://www.w3.org/2001/XMLSchema" xmlns="http://www.boldonjames.com/2008/01/sie/internal/label" sislVersion="0" policy="18fbfd49-c8e6-4618-a77f-5ef25245836c" origin="userSelected">
  <element uid="4ecbf47d-2ec6-497d-85fc-f65b66e62fe7" value=""/>
  <element uid="588104ae-2895-48f0-94e0-4417fcf0f7f0" value=""/>
</sisl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ae82bc55-adb9-499f-a89d-8cc34ff9b62e" xsi:nil="true"/>
    <SharedWithUsers xmlns="ee50a320-7cab-480e-8dab-74586aaed348">
      <UserInfo>
        <DisplayName>Mike Doggwiler</DisplayName>
        <AccountId>6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BD355EEF-389E-424E-8929-A384DB5D940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1041EED-E4E6-4EC3-B651-0A3E29A434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82bc55-adb9-499f-a89d-8cc34ff9b62e"/>
    <ds:schemaRef ds:uri="ee50a320-7cab-480e-8dab-74586aaed3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A0027C9-0369-47C2-BD62-32992EC6057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21A16E0-1C3B-4266-B948-DFFA4078FF39}">
  <ds:schemaRefs>
    <ds:schemaRef ds:uri="http://www.w3.org/2001/XMLSchema"/>
    <ds:schemaRef ds:uri="http://www.boldonjames.com/2008/01/sie/internal/label"/>
  </ds:schemaRefs>
</ds:datastoreItem>
</file>

<file path=customXml/itemProps5.xml><?xml version="1.0" encoding="utf-8"?>
<ds:datastoreItem xmlns:ds="http://schemas.openxmlformats.org/officeDocument/2006/customXml" ds:itemID="{3F40ABDD-FD73-4910-B77B-7BE8AEBD972B}">
  <ds:schemaRefs>
    <ds:schemaRef ds:uri="http://schemas.microsoft.com/office/2006/metadata/properties"/>
    <ds:schemaRef ds:uri="http://schemas.microsoft.com/office/infopath/2007/PartnerControls"/>
    <ds:schemaRef ds:uri="ae82bc55-adb9-499f-a89d-8cc34ff9b62e"/>
    <ds:schemaRef ds:uri="ee50a320-7cab-480e-8dab-74586aaed34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1894</Words>
  <Characters>10798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Oddie</dc:creator>
  <cp:keywords/>
  <dc:description/>
  <cp:lastModifiedBy>Mike Doggwiler</cp:lastModifiedBy>
  <cp:revision>7</cp:revision>
  <dcterms:created xsi:type="dcterms:W3CDTF">2022-04-29T10:58:00Z</dcterms:created>
  <dcterms:modified xsi:type="dcterms:W3CDTF">2022-05-03T14:25:00Z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0x0101009E84E073D418E04D82F7095C75FFCCF4</vt:lpwstr>
  </property>
  <property fmtid="{D5CDD505-2E9C-101B-9397-08002B2CF9AE}" pid="3" name="docIndexRef">
    <vt:lpwstr>83d9c45b-64a7-4598-aae7-8c62777fac23</vt:lpwstr>
  </property>
  <property fmtid="{D5CDD505-2E9C-101B-9397-08002B2CF9AE}" pid="4" name="bjSaver">
    <vt:lpwstr>nLyR4HS08U+6cYA5FRcj+CcI+JUHzUNm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policy="18fbfd49-c8e6-4618-a77f-5ef25245836c" origin="userSelected" xmlns="http://www.boldonj</vt:lpwstr>
  </property>
  <property fmtid="{D5CDD505-2E9C-101B-9397-08002B2CF9AE}" pid="6" name="bjDocumentLabelXML-0">
    <vt:lpwstr>ames.com/2008/01/sie/internal/label"&gt;&lt;element uid="4ecbf47d-2ec6-497d-85fc-f65b66e62fe7" value="" /&gt;&lt;element uid="588104ae-2895-48f0-94e0-4417fcf0f7f0" value="" /&gt;&lt;/sisl&gt;</vt:lpwstr>
  </property>
  <property fmtid="{D5CDD505-2E9C-101B-9397-08002B2CF9AE}" pid="7" name="bjDocumentSecurityLabel">
    <vt:lpwstr>CNH Industrial: GENERAL BUSINESS  Contains no personal data</vt:lpwstr>
  </property>
  <property fmtid="{D5CDD505-2E9C-101B-9397-08002B2CF9AE}" pid="8" name="CNH-Classification">
    <vt:lpwstr>[GENERAL BUSINESS - Contains no personal data]</vt:lpwstr>
  </property>
  <property fmtid="{D5CDD505-2E9C-101B-9397-08002B2CF9AE}" pid="9" name="CNH-LabelledBy:">
    <vt:lpwstr>F63971A,2021-09-21 17:59:25,GENERAL BUSINESS</vt:lpwstr>
  </property>
</Properties>
</file>