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22527" w14:textId="77777777" w:rsidR="00F34E99" w:rsidRDefault="000A0C59">
      <w:pPr>
        <w:rPr>
          <w:rFonts w:ascii="Gill Sans MT" w:hAnsi="Gill Sans MT" w:cs="Arial"/>
          <w:b/>
          <w:bCs/>
          <w:lang w:val="de-DE"/>
        </w:rPr>
      </w:pPr>
      <w:bookmarkStart w:id="0" w:name="_Hlk510438457"/>
      <w:r>
        <w:rPr>
          <w:rFonts w:ascii="Gill Sans MT" w:hAnsi="Gill Sans MT" w:cs="Arial"/>
          <w:b/>
          <w:bCs/>
          <w:lang w:val="de-DE"/>
        </w:rPr>
        <w:t>CASE präsentiert erfolgreich seine neuen Modelle auf der europäischen Roadshow</w:t>
      </w:r>
      <w:r>
        <w:rPr>
          <w:rFonts w:ascii="Gill Sans MT" w:hAnsi="Gill Sans MT" w:cs="Arial"/>
          <w:b/>
          <w:bCs/>
          <w:lang w:val="de-DE"/>
        </w:rPr>
        <w:br/>
        <w:t xml:space="preserve">in Italien, Frankreich und Deutschland. </w:t>
      </w:r>
    </w:p>
    <w:p w14:paraId="7DE82062" w14:textId="77777777" w:rsidR="00F34E99" w:rsidRDefault="000A0C59">
      <w:pPr>
        <w:rPr>
          <w:rFonts w:ascii="Gill Sans MT" w:hAnsi="Gill Sans MT" w:cs="Arial"/>
          <w:bCs/>
          <w:lang w:val="de-DE"/>
        </w:rPr>
      </w:pPr>
      <w:r>
        <w:rPr>
          <w:rFonts w:ascii="Gill Sans MT" w:hAnsi="Gill Sans MT" w:cs="Arial"/>
          <w:bCs/>
          <w:lang w:val="de-DE"/>
        </w:rPr>
        <w:t xml:space="preserve">Kunden erleben die neuesten Maschinen der Raupenbagger der E-Serie, Minibagger D-Serie, und </w:t>
      </w:r>
      <w:r>
        <w:rPr>
          <w:rFonts w:ascii="Gill Sans MT" w:hAnsi="Gill Sans MT" w:cs="Arial"/>
          <w:bCs/>
          <w:lang w:val="de-DE"/>
        </w:rPr>
        <w:t>Evolution-Radlader G-Serie hautnah.</w:t>
      </w:r>
    </w:p>
    <w:p w14:paraId="4D2F39ED" w14:textId="61BCF2E8" w:rsidR="00F34E99" w:rsidRDefault="000A0C59">
      <w:pPr>
        <w:rPr>
          <w:rFonts w:ascii="Gill Sans MT" w:hAnsi="Gill Sans MT" w:cs="Arial"/>
          <w:i/>
          <w:iCs/>
          <w:lang w:val="de-DE"/>
        </w:rPr>
      </w:pPr>
      <w:r>
        <w:rPr>
          <w:rFonts w:ascii="Gill Sans MT" w:hAnsi="Gill Sans MT" w:cs="Arial"/>
          <w:i/>
          <w:iCs/>
          <w:lang w:val="de-DE"/>
        </w:rPr>
        <w:t xml:space="preserve">Turin, </w:t>
      </w:r>
      <w:r w:rsidR="00BA4194">
        <w:rPr>
          <w:rFonts w:ascii="Gill Sans MT" w:hAnsi="Gill Sans MT" w:cs="Arial"/>
          <w:i/>
          <w:iCs/>
          <w:lang w:val="de-DE"/>
        </w:rPr>
        <w:t>16</w:t>
      </w:r>
      <w:r>
        <w:rPr>
          <w:rFonts w:ascii="Gill Sans MT" w:hAnsi="Gill Sans MT" w:cs="Arial"/>
          <w:i/>
          <w:iCs/>
          <w:lang w:val="de-DE"/>
        </w:rPr>
        <w:t>. Juni 2022</w:t>
      </w:r>
    </w:p>
    <w:p w14:paraId="27CE0959" w14:textId="77777777" w:rsidR="00F34E99" w:rsidRDefault="000A0C59">
      <w:pPr>
        <w:rPr>
          <w:rFonts w:ascii="Gill Sans MT" w:hAnsi="Gill Sans MT" w:cs="Arial"/>
          <w:lang w:val="de-DE"/>
        </w:rPr>
      </w:pPr>
      <w:r>
        <w:rPr>
          <w:rFonts w:ascii="Gill Sans MT" w:hAnsi="Gill Sans MT" w:cs="Arial"/>
          <w:lang w:val="de-DE"/>
        </w:rPr>
        <w:t>Die europäischen Roadshows von CASE Construction Equipment wurden von Kunden und Medien aus ganz Europa als voller Erfolg verbucht. Auf den Veranstaltungen in Ettringen (Deutschland), Calenzano (Flor</w:t>
      </w:r>
      <w:r>
        <w:rPr>
          <w:rFonts w:ascii="Gill Sans MT" w:hAnsi="Gill Sans MT" w:cs="Arial"/>
          <w:lang w:val="de-DE"/>
        </w:rPr>
        <w:t>enz), Italien und Quilly (Nantes) Frankreich konnten unsere Kunden die neuesten CASE-Maschinen testen. Bei jeder Veranstaltung standen die neuen CASE Maschinen für die Kunden zum Ausprobieren bereit, darunter die Raupenbagger der E-Serie, die Minibagger de</w:t>
      </w:r>
      <w:r>
        <w:rPr>
          <w:rFonts w:ascii="Gill Sans MT" w:hAnsi="Gill Sans MT" w:cs="Arial"/>
          <w:lang w:val="de-DE"/>
        </w:rPr>
        <w:t>r D-Serie und die Evolution-Radlader der G-Serie. CASE Produkt-Experten waren ebenfalls vor Ort, um detaillierte Fragen zu den Produkten zu beantworten, darunter auch Spezialisten für den Bereich Aftermarket, die die Vorzüge der CASE® Service Solutions und</w:t>
      </w:r>
      <w:r>
        <w:rPr>
          <w:rFonts w:ascii="Gill Sans MT" w:hAnsi="Gill Sans MT" w:cs="Arial"/>
          <w:lang w:val="de-DE"/>
        </w:rPr>
        <w:t xml:space="preserve"> Finanzierungsoptionen erläuterten.</w:t>
      </w:r>
    </w:p>
    <w:p w14:paraId="2649636A" w14:textId="77777777" w:rsidR="00F34E99" w:rsidRDefault="000A0C59">
      <w:pPr>
        <w:rPr>
          <w:rFonts w:ascii="Gill Sans MT" w:hAnsi="Gill Sans MT" w:cs="Arial"/>
          <w:lang w:val="de-DE"/>
        </w:rPr>
      </w:pPr>
      <w:r>
        <w:rPr>
          <w:rFonts w:ascii="Gill Sans MT" w:hAnsi="Gill Sans MT" w:cs="Arial"/>
          <w:lang w:val="de-DE"/>
        </w:rPr>
        <w:t>Neben der Möglichkeit zur Begutachtung und zum Testen der Maschinen konnten Kunden und europäische Medienvertreter – von denen viele aus ganz Europa angereist waren – auch Vorführungen und Rodeo-Wettbewerbe miterleben, d</w:t>
      </w:r>
      <w:r>
        <w:rPr>
          <w:rFonts w:ascii="Gill Sans MT" w:hAnsi="Gill Sans MT" w:cs="Arial"/>
          <w:lang w:val="de-DE"/>
        </w:rPr>
        <w:t>ie die Wendigkeit und Vielseitigkeit der neuen Modelle demonstrierten.</w:t>
      </w:r>
    </w:p>
    <w:p w14:paraId="6877A94E" w14:textId="77777777" w:rsidR="00F34E99" w:rsidRDefault="000A0C59">
      <w:pPr>
        <w:rPr>
          <w:rFonts w:ascii="Gill Sans MT" w:hAnsi="Gill Sans MT" w:cs="Arial"/>
          <w:lang w:val="de-DE"/>
        </w:rPr>
      </w:pPr>
      <w:r>
        <w:rPr>
          <w:rFonts w:ascii="Gill Sans MT" w:hAnsi="Gill Sans MT" w:cs="Arial"/>
          <w:lang w:val="de-DE"/>
        </w:rPr>
        <w:t>Federico Bullo, Head of Europe, Construction Equipment CNH Industrial, erklärt: „Unsere Kunden sind die treibende Kraft hinter allem, was wir tun. Daher kombiniert unsere diesjährige Ma</w:t>
      </w:r>
      <w:r>
        <w:rPr>
          <w:rFonts w:ascii="Gill Sans MT" w:hAnsi="Gill Sans MT" w:cs="Arial"/>
          <w:lang w:val="de-DE"/>
        </w:rPr>
        <w:t>rketingstrategie klassische, lokale Kunden-Events mit digitalen Aktivitäten zum Kundenerlebnis. Bei Roadshows bringen wir unsere Maschinen, die CASE Experten und unsere Händler dorthin, wo sich unsere Kunden und Interessenten befinden und ermöglichen ihnen</w:t>
      </w:r>
      <w:r>
        <w:rPr>
          <w:rFonts w:ascii="Gill Sans MT" w:hAnsi="Gill Sans MT" w:cs="Arial"/>
          <w:lang w:val="de-DE"/>
        </w:rPr>
        <w:t xml:space="preserve"> durch gezielte Aktivitäten vor Ort ein praxisnahes Erlebnis.“</w:t>
      </w:r>
    </w:p>
    <w:p w14:paraId="51A70055" w14:textId="77777777" w:rsidR="00F34E99" w:rsidRDefault="000A0C59">
      <w:pPr>
        <w:rPr>
          <w:rFonts w:ascii="Gill Sans MT" w:hAnsi="Gill Sans MT" w:cs="Arial"/>
          <w:lang w:val="de-DE"/>
        </w:rPr>
      </w:pPr>
      <w:r>
        <w:rPr>
          <w:rFonts w:ascii="Gill Sans MT" w:hAnsi="Gill Sans MT" w:cs="Arial"/>
          <w:b/>
          <w:bCs/>
          <w:lang w:val="de-DE"/>
        </w:rPr>
        <w:t xml:space="preserve">Kunden testen Maschinen aus drei neuen Produktserien </w:t>
      </w:r>
    </w:p>
    <w:p w14:paraId="0EC4A568" w14:textId="77777777" w:rsidR="00F34E99" w:rsidRDefault="000A0C59">
      <w:pPr>
        <w:rPr>
          <w:rFonts w:ascii="Gill Sans MT" w:hAnsi="Gill Sans MT" w:cs="Arial"/>
          <w:lang w:val="de-DE"/>
        </w:rPr>
      </w:pPr>
      <w:r>
        <w:rPr>
          <w:rFonts w:ascii="Gill Sans MT" w:hAnsi="Gill Sans MT" w:cs="Arial"/>
          <w:lang w:val="de-DE"/>
        </w:rPr>
        <w:t>Auf den Roadshows hatten die Kunden Gelegenheit, zahlreiche neue Produkte auszuprobieren, darunter die Raupenbagger der E-Serie, die Miniba</w:t>
      </w:r>
      <w:r>
        <w:rPr>
          <w:rFonts w:ascii="Gill Sans MT" w:hAnsi="Gill Sans MT" w:cs="Arial"/>
          <w:lang w:val="de-DE"/>
        </w:rPr>
        <w:t>gger der D-Serie und die Evolution-Radlader der G-Serie.</w:t>
      </w:r>
    </w:p>
    <w:p w14:paraId="290A492B" w14:textId="77777777" w:rsidR="00F34E99" w:rsidRDefault="000A0C59">
      <w:pPr>
        <w:rPr>
          <w:rFonts w:ascii="Gill Sans MT" w:hAnsi="Gill Sans MT" w:cs="Arial"/>
          <w:lang w:val="de-DE"/>
        </w:rPr>
      </w:pPr>
      <w:r>
        <w:rPr>
          <w:rFonts w:ascii="Gill Sans MT" w:hAnsi="Gill Sans MT" w:cs="Arial"/>
          <w:lang w:val="de-DE"/>
        </w:rPr>
        <w:t>Die neue E-Serie der CASE Raupenbagger, die im April 2022 auf den Markt kam, umfasst 7 neue Modelle, von denen 4 auf den Roadshows für die ersten Testfahrten mit den Kunden bereitgestellt wurden. Die</w:t>
      </w:r>
      <w:r>
        <w:rPr>
          <w:rFonts w:ascii="Gill Sans MT" w:hAnsi="Gill Sans MT" w:cs="Arial"/>
          <w:lang w:val="de-DE"/>
        </w:rPr>
        <w:t xml:space="preserve"> Besucher erhielten einen Einblick in die neuen Features der E-Serie, die optimale Betriebszeiten, Effizienz und Produktivität ermöglichen. </w:t>
      </w:r>
    </w:p>
    <w:p w14:paraId="0AA5CDEB" w14:textId="77777777" w:rsidR="00F34E99" w:rsidRDefault="000A0C59">
      <w:pPr>
        <w:rPr>
          <w:rFonts w:ascii="Gill Sans MT" w:hAnsi="Gill Sans MT" w:cs="Arial"/>
          <w:lang w:val="de-DE"/>
        </w:rPr>
      </w:pPr>
      <w:r>
        <w:rPr>
          <w:rFonts w:ascii="Gill Sans MT" w:hAnsi="Gill Sans MT" w:cs="Arial"/>
          <w:lang w:val="de-DE"/>
        </w:rPr>
        <w:t>Die im Mai 2022 eingeführte neue Minibagger-Baureihe der D-Serie umfasst 20 Modelle von 1 bis 6 Tonnen, inklusive z</w:t>
      </w:r>
      <w:r>
        <w:rPr>
          <w:rFonts w:ascii="Gill Sans MT" w:hAnsi="Gill Sans MT" w:cs="Arial"/>
          <w:lang w:val="de-DE"/>
        </w:rPr>
        <w:t>weier Elektromodelle. Auf den Events konnten die Kunden bereits 7 Modelle, darunter eine der Elektro-Maschinen, ausprobieren.</w:t>
      </w:r>
    </w:p>
    <w:p w14:paraId="15D954F0" w14:textId="77777777" w:rsidR="00F34E99" w:rsidRDefault="000A0C59">
      <w:pPr>
        <w:rPr>
          <w:rFonts w:ascii="Gill Sans MT" w:hAnsi="Gill Sans MT"/>
          <w:lang w:val="de-DE"/>
        </w:rPr>
      </w:pPr>
      <w:r>
        <w:rPr>
          <w:rFonts w:ascii="Gill Sans MT" w:hAnsi="Gill Sans MT"/>
          <w:lang w:val="de-DE"/>
        </w:rPr>
        <w:t>Der neue, im Rahmen eines 2021 stattfindenden Online-Launch erfolgreich auf den Markt gebrachte Evolution-Radlader der G-Serie kon</w:t>
      </w:r>
      <w:r>
        <w:rPr>
          <w:rFonts w:ascii="Gill Sans MT" w:hAnsi="Gill Sans MT"/>
          <w:lang w:val="de-DE"/>
        </w:rPr>
        <w:t xml:space="preserve">nte ebenfalls von den Kunden getestet werden. Das völlig neue Nutzlastsystem, die Touchscreen-Befehlszentrale, die brandneuen flexiblen elektrohydraulischen Steuerungen und das vereinfachte Energiemanagement sind nur einige der </w:t>
      </w:r>
      <w:r>
        <w:rPr>
          <w:rFonts w:ascii="Gill Sans MT" w:hAnsi="Gill Sans MT"/>
          <w:lang w:val="de-DE"/>
        </w:rPr>
        <w:lastRenderedPageBreak/>
        <w:t>neuen Features, die den Kund</w:t>
      </w:r>
      <w:r>
        <w:rPr>
          <w:rFonts w:ascii="Gill Sans MT" w:hAnsi="Gill Sans MT"/>
          <w:lang w:val="de-DE"/>
        </w:rPr>
        <w:t>en vorgestellt wurden, um ihre Produktivität, Rentabilität und Maschinenzuverlässigkeit zu steigern.</w:t>
      </w:r>
    </w:p>
    <w:p w14:paraId="4D9C473D" w14:textId="77777777" w:rsidR="00F34E99" w:rsidRDefault="000A0C59">
      <w:pPr>
        <w:rPr>
          <w:rFonts w:ascii="Gill Sans MT" w:hAnsi="Gill Sans MT" w:cs="Arial"/>
          <w:b/>
          <w:bCs/>
          <w:lang w:val="de-DE"/>
        </w:rPr>
      </w:pPr>
      <w:r>
        <w:rPr>
          <w:rFonts w:ascii="Gill Sans MT" w:hAnsi="Gill Sans MT" w:cs="Arial"/>
          <w:b/>
          <w:bCs/>
          <w:lang w:val="de-DE"/>
        </w:rPr>
        <w:t>Rückkehr des CASE Rodeo Wettbewerbs für die Fahrer</w:t>
      </w:r>
    </w:p>
    <w:p w14:paraId="7F65D702" w14:textId="77777777" w:rsidR="00F34E99" w:rsidRDefault="000A0C59">
      <w:pPr>
        <w:rPr>
          <w:rFonts w:ascii="Gill Sans MT" w:hAnsi="Gill Sans MT" w:cs="Arial"/>
          <w:lang w:val="de-DE"/>
        </w:rPr>
      </w:pPr>
      <w:r>
        <w:rPr>
          <w:rFonts w:ascii="Gill Sans MT" w:hAnsi="Gill Sans MT" w:cs="Arial"/>
          <w:lang w:val="de-DE"/>
        </w:rPr>
        <w:t>Das CASE Rodeo, das schon vor der Pandemie ein Höhepunkt im Veranstaltungsprogramm der europäischen Anla</w:t>
      </w:r>
      <w:r>
        <w:rPr>
          <w:rFonts w:ascii="Gill Sans MT" w:hAnsi="Gill Sans MT" w:cs="Arial"/>
          <w:lang w:val="de-DE"/>
        </w:rPr>
        <w:t>genbetreiber war, ist wieder da. Die Rodeos sind nicht nur ein Riesenspaß, bei dem Bediener und Journalisten aus ganz Europa ihr Können unter Beweis stellen können, sondern sie zeigen auch traditionell die Wendigkeit, Steuerbarkeit und Flexibilität der CAS</w:t>
      </w:r>
      <w:r>
        <w:rPr>
          <w:rFonts w:ascii="Gill Sans MT" w:hAnsi="Gill Sans MT" w:cs="Arial"/>
          <w:lang w:val="de-DE"/>
        </w:rPr>
        <w:t xml:space="preserve">E Maschinen. </w:t>
      </w:r>
      <w:r>
        <w:rPr>
          <w:rFonts w:ascii="Gill Sans MT" w:hAnsi="Gill Sans MT"/>
          <w:lang w:val="de-DE"/>
        </w:rPr>
        <w:t>Für viele Besucher war dies die erste Gelegenheit seit der Aufhebung der COVID-Beschränkungen für Reisen und Live-Veranstaltungen.</w:t>
      </w:r>
      <w:r>
        <w:rPr>
          <w:rFonts w:ascii="Gill Sans MT" w:hAnsi="Gill Sans MT" w:cs="Arial"/>
          <w:lang w:val="de-DE"/>
        </w:rPr>
        <w:t xml:space="preserve"> </w:t>
      </w:r>
    </w:p>
    <w:p w14:paraId="00F65E7E" w14:textId="77777777" w:rsidR="00F34E99" w:rsidRDefault="000A0C59">
      <w:pPr>
        <w:rPr>
          <w:rFonts w:ascii="Gill Sans MT" w:hAnsi="Gill Sans MT" w:cs="Arial"/>
          <w:lang w:val="de-DE"/>
        </w:rPr>
      </w:pPr>
      <w:r>
        <w:rPr>
          <w:rFonts w:ascii="Gill Sans MT" w:hAnsi="Gill Sans MT" w:cs="Arial"/>
          <w:lang w:val="de-DE"/>
        </w:rPr>
        <w:t>Bullo fasst zusammen: „Unsere Kunden sehen sich mit immer größeren Herausforderungen konfrontiert, die eine Ver</w:t>
      </w:r>
      <w:r>
        <w:rPr>
          <w:rFonts w:ascii="Gill Sans MT" w:hAnsi="Gill Sans MT" w:cs="Arial"/>
          <w:lang w:val="de-DE"/>
        </w:rPr>
        <w:t>schärfung des Wettbewerbs mit sich bringen. Daher vertrauen sie auf CASE, wenn es um die Entwicklung von Maschinen mit optimaler Betriebszeit, Effizienz und Produktivität geht, um wettbewerbsfähig zu bleiben.</w:t>
      </w:r>
    </w:p>
    <w:p w14:paraId="0693B782" w14:textId="77777777" w:rsidR="00F34E99" w:rsidRDefault="000A0C59">
      <w:pPr>
        <w:rPr>
          <w:rFonts w:ascii="Gill Sans MT" w:hAnsi="Gill Sans MT" w:cs="Arial"/>
          <w:lang w:val="de-DE"/>
        </w:rPr>
      </w:pPr>
      <w:r>
        <w:rPr>
          <w:rFonts w:ascii="Gill Sans MT" w:hAnsi="Gill Sans MT" w:cs="Arial"/>
          <w:lang w:val="de-DE"/>
        </w:rPr>
        <w:t>„Es war spannend und eine wichtige Lernerfahrun</w:t>
      </w:r>
      <w:r>
        <w:rPr>
          <w:rFonts w:ascii="Gill Sans MT" w:hAnsi="Gill Sans MT" w:cs="Arial"/>
          <w:lang w:val="de-DE"/>
        </w:rPr>
        <w:t>g für uns und unsere Händler, bei live stattfindenden Fachveranstaltungen Zeit mit Kunden und ihren Familien zu verbringen, die sich von den Vorzügen der CASE-Maschinen selbst überzeugen konnten.“</w:t>
      </w:r>
    </w:p>
    <w:p w14:paraId="6BF39E63" w14:textId="77777777" w:rsidR="00F34E99" w:rsidRDefault="000A0C59">
      <w:pPr>
        <w:pStyle w:val="NormalWeb"/>
        <w:jc w:val="center"/>
        <w:rPr>
          <w:rFonts w:ascii="Gill Sans MT" w:hAnsi="Gill Sans MT"/>
          <w:color w:val="000000"/>
          <w:sz w:val="22"/>
          <w:szCs w:val="22"/>
          <w:lang w:val="de-DE"/>
        </w:rPr>
      </w:pPr>
      <w:r>
        <w:rPr>
          <w:rFonts w:ascii="Gill Sans MT" w:hAnsi="Gill Sans MT"/>
          <w:b/>
          <w:bCs/>
          <w:color w:val="000000" w:themeColor="text1"/>
          <w:sz w:val="22"/>
          <w:szCs w:val="22"/>
          <w:lang w:val="de-DE"/>
        </w:rPr>
        <w:t>ENDS</w:t>
      </w:r>
    </w:p>
    <w:bookmarkEnd w:id="0"/>
    <w:p w14:paraId="7C102F16" w14:textId="77777777" w:rsidR="00F34E99" w:rsidRDefault="000A0C59">
      <w:pPr>
        <w:pStyle w:val="NormalWeb"/>
        <w:rPr>
          <w:rFonts w:ascii="Gill Sans MT" w:eastAsia="Gill Sans MT" w:hAnsi="Gill Sans MT" w:cs="Gill Sans MT"/>
          <w:color w:val="000000" w:themeColor="text1"/>
          <w:sz w:val="19"/>
          <w:szCs w:val="19"/>
          <w:lang w:val="de-DE"/>
        </w:rPr>
      </w:pPr>
      <w:r>
        <w:rPr>
          <w:rFonts w:ascii="Gill Sans MT" w:eastAsia="Gill Sans MT" w:hAnsi="Gill Sans MT" w:cs="Gill Sans MT"/>
          <w:b/>
          <w:bCs/>
          <w:color w:val="000000" w:themeColor="text1"/>
          <w:sz w:val="19"/>
          <w:szCs w:val="19"/>
          <w:lang w:val="de-DE"/>
        </w:rPr>
        <w:t>Hinweise für Redakteure</w:t>
      </w:r>
    </w:p>
    <w:p w14:paraId="13EB47F8" w14:textId="77777777" w:rsidR="00F34E99" w:rsidRDefault="000A0C59">
      <w:pPr>
        <w:spacing w:before="100" w:beforeAutospacing="1" w:after="100" w:afterAutospacing="1" w:line="240" w:lineRule="auto"/>
        <w:rPr>
          <w:rFonts w:ascii="Calibri" w:eastAsia="Calibri" w:hAnsi="Calibri" w:cs="Times New Roman"/>
          <w:color w:val="000000" w:themeColor="text1"/>
          <w:lang w:val="de-DE"/>
        </w:rPr>
      </w:pPr>
      <w:r>
        <w:rPr>
          <w:rFonts w:ascii="Gill Sans MT" w:eastAsia="Gill Sans MT" w:hAnsi="Gill Sans MT" w:cs="Gill Sans MT"/>
          <w:color w:val="000000" w:themeColor="text1"/>
          <w:sz w:val="19"/>
          <w:szCs w:val="19"/>
          <w:lang w:val="de-DE"/>
        </w:rPr>
        <w:t xml:space="preserve">Von unserer Website können Sie Texte, Videos und Bilddateien in hoher Auflösung (JPG 300 DPI, CMYK) zu dieser Pressemeldung herunterladen: </w:t>
      </w:r>
      <w:hyperlink r:id="rId12">
        <w:r>
          <w:rPr>
            <w:rStyle w:val="Hyperlink"/>
            <w:rFonts w:ascii="Gill Sans MT" w:eastAsia="Gill Sans MT" w:hAnsi="Gill Sans MT" w:cs="Gill Sans MT"/>
            <w:sz w:val="19"/>
            <w:szCs w:val="19"/>
            <w:lang w:val="de-DE"/>
          </w:rPr>
          <w:t>www.casecetools.com/press-kit</w:t>
        </w:r>
      </w:hyperlink>
    </w:p>
    <w:p w14:paraId="4434BB00" w14:textId="77777777" w:rsidR="00F34E99" w:rsidRDefault="000A0C59">
      <w:pPr>
        <w:spacing w:before="100" w:beforeAutospacing="1" w:after="100" w:afterAutospacing="1" w:line="240" w:lineRule="auto"/>
        <w:rPr>
          <w:rFonts w:ascii="Calibri" w:eastAsia="Calibri" w:hAnsi="Calibri" w:cs="Times New Roman"/>
          <w:color w:val="000000" w:themeColor="text1"/>
          <w:sz w:val="19"/>
          <w:szCs w:val="19"/>
          <w:lang w:val="de-DE"/>
        </w:rPr>
      </w:pPr>
      <w:r>
        <w:rPr>
          <w:rFonts w:ascii="Gill Sans MT" w:eastAsia="Gill Sans MT" w:hAnsi="Gill Sans MT" w:cs="Gill Sans MT"/>
          <w:color w:val="212121"/>
          <w:sz w:val="19"/>
          <w:szCs w:val="19"/>
          <w:lang w:val="de-DE"/>
        </w:rPr>
        <w:t xml:space="preserve">Folgen Sie uns auf: </w:t>
      </w:r>
      <w:r>
        <w:rPr>
          <w:rFonts w:ascii="Gill Sans MT" w:eastAsia="Gill Sans MT" w:hAnsi="Gill Sans MT" w:cs="Gill Sans MT"/>
          <w:color w:val="000000" w:themeColor="text1"/>
          <w:sz w:val="19"/>
          <w:szCs w:val="19"/>
          <w:lang w:val="de-DE"/>
        </w:rPr>
        <w:t xml:space="preserve"> </w:t>
      </w:r>
      <w:r>
        <w:rPr>
          <w:rFonts w:ascii="Calibri" w:eastAsia="Calibri" w:hAnsi="Calibri" w:cs="Calibri"/>
          <w:color w:val="000000" w:themeColor="text1"/>
          <w:sz w:val="19"/>
          <w:szCs w:val="19"/>
          <w:lang w:val="de-DE"/>
        </w:rPr>
        <w:t xml:space="preserve">         </w:t>
      </w:r>
    </w:p>
    <w:p w14:paraId="35F6DAE6" w14:textId="77777777" w:rsidR="00F34E99" w:rsidRDefault="000A0C59">
      <w:pPr>
        <w:spacing w:before="100" w:beforeAutospacing="1" w:after="100" w:afterAutospacing="1" w:line="240" w:lineRule="auto"/>
        <w:jc w:val="both"/>
        <w:rPr>
          <w:rFonts w:ascii="Calibri" w:eastAsia="Calibri" w:hAnsi="Calibri" w:cs="Times New Roman"/>
          <w:color w:val="000000" w:themeColor="text1"/>
          <w:sz w:val="19"/>
          <w:szCs w:val="19"/>
          <w:lang w:val="de-DE"/>
        </w:rPr>
      </w:pPr>
      <w:r>
        <w:rPr>
          <w:noProof/>
          <w:lang w:val="de-DE"/>
        </w:rPr>
        <w:drawing>
          <wp:inline distT="0" distB="0" distL="0" distR="0" wp14:anchorId="62E7D0FD" wp14:editId="72496C2C">
            <wp:extent cx="190500" cy="190500"/>
            <wp:effectExtent l="0" t="0" r="0" b="0"/>
            <wp:docPr id="995078730" name="Grafik 995078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90500" cy="190500"/>
                    </a:xfrm>
                    <a:prstGeom prst="rect">
                      <a:avLst/>
                    </a:prstGeom>
                  </pic:spPr>
                </pic:pic>
              </a:graphicData>
            </a:graphic>
          </wp:inline>
        </w:drawing>
      </w:r>
      <w:r>
        <w:rPr>
          <w:noProof/>
          <w:lang w:val="de-DE"/>
        </w:rPr>
        <w:drawing>
          <wp:inline distT="0" distB="0" distL="0" distR="0" wp14:anchorId="05C7D444" wp14:editId="5E26E6FA">
            <wp:extent cx="190500" cy="1905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190500" cy="190500"/>
                    </a:xfrm>
                    <a:prstGeom prst="rect">
                      <a:avLst/>
                    </a:prstGeom>
                  </pic:spPr>
                </pic:pic>
              </a:graphicData>
            </a:graphic>
          </wp:inline>
        </w:drawing>
      </w:r>
      <w:r>
        <w:rPr>
          <w:noProof/>
          <w:lang w:val="de-DE"/>
        </w:rPr>
        <w:drawing>
          <wp:inline distT="0" distB="0" distL="0" distR="0" wp14:anchorId="15780074" wp14:editId="37B630BE">
            <wp:extent cx="190500" cy="1905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190500" cy="190500"/>
                    </a:xfrm>
                    <a:prstGeom prst="rect">
                      <a:avLst/>
                    </a:prstGeom>
                  </pic:spPr>
                </pic:pic>
              </a:graphicData>
            </a:graphic>
          </wp:inline>
        </w:drawing>
      </w:r>
      <w:r>
        <w:rPr>
          <w:noProof/>
          <w:lang w:val="de-DE"/>
        </w:rPr>
        <w:drawing>
          <wp:inline distT="0" distB="0" distL="0" distR="0" wp14:anchorId="6378B141" wp14:editId="2834E85A">
            <wp:extent cx="190500" cy="1905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190500" cy="190500"/>
                    </a:xfrm>
                    <a:prstGeom prst="rect">
                      <a:avLst/>
                    </a:prstGeom>
                  </pic:spPr>
                </pic:pic>
              </a:graphicData>
            </a:graphic>
          </wp:inline>
        </w:drawing>
      </w:r>
    </w:p>
    <w:p w14:paraId="5A38729C" w14:textId="77777777" w:rsidR="00F34E99" w:rsidRDefault="000A0C59">
      <w:pPr>
        <w:spacing w:before="100" w:beforeAutospacing="1" w:after="100" w:afterAutospacing="1" w:line="240" w:lineRule="auto"/>
        <w:rPr>
          <w:rFonts w:ascii="Gill Sans MT" w:eastAsia="Gill Sans MT" w:hAnsi="Gill Sans MT" w:cs="Gill Sans MT"/>
          <w:color w:val="000000" w:themeColor="text1"/>
          <w:sz w:val="16"/>
          <w:szCs w:val="16"/>
          <w:lang w:val="de-DE"/>
        </w:rPr>
      </w:pPr>
      <w:r>
        <w:rPr>
          <w:rFonts w:ascii="Gill Sans MT" w:eastAsia="Gill Sans MT" w:hAnsi="Gill Sans MT" w:cs="Gill Sans MT"/>
          <w:i/>
          <w:iCs/>
          <w:color w:val="000000" w:themeColor="text1"/>
          <w:sz w:val="16"/>
          <w:szCs w:val="16"/>
          <w:lang w:val="de-DE"/>
        </w:rPr>
        <w:t>CASE Construction Equipment vertreibt auf der ganzen Welt ein komplettes Angebot verschiedenster Baumaschinen, darunter Baggerlader (Marktführer), Raupen- und Mobilbagger, Motorgrader, Radlader, Kompaktlader, Raupenkompaktlader und Allweg Stapler.  Über da</w:t>
      </w:r>
      <w:r>
        <w:rPr>
          <w:rFonts w:ascii="Gill Sans MT" w:eastAsia="Gill Sans MT" w:hAnsi="Gill Sans MT" w:cs="Gill Sans MT"/>
          <w:i/>
          <w:iCs/>
          <w:color w:val="000000" w:themeColor="text1"/>
          <w:sz w:val="16"/>
          <w:szCs w:val="16"/>
          <w:lang w:val="de-DE"/>
        </w:rPr>
        <w:t>s internationale Händlernetz bietet CASE seinen Kunden eine professionelle Partnerschaft mit leistungsfähigen Maschinen und einem Kundendienst der Spitzenklasse, branchenführenden Garantieleistungen und flexiblen Finanzierungslösungen. Weitere Informatione</w:t>
      </w:r>
      <w:r>
        <w:rPr>
          <w:rFonts w:ascii="Gill Sans MT" w:eastAsia="Gill Sans MT" w:hAnsi="Gill Sans MT" w:cs="Gill Sans MT"/>
          <w:i/>
          <w:iCs/>
          <w:color w:val="000000" w:themeColor="text1"/>
          <w:sz w:val="16"/>
          <w:szCs w:val="16"/>
          <w:lang w:val="de-DE"/>
        </w:rPr>
        <w:t xml:space="preserve">n finden Sie unter </w:t>
      </w:r>
      <w:hyperlink r:id="rId17">
        <w:r>
          <w:rPr>
            <w:rStyle w:val="Hyperlink"/>
            <w:rFonts w:ascii="Gill Sans MT" w:eastAsia="Gill Sans MT" w:hAnsi="Gill Sans MT" w:cs="Gill Sans MT"/>
            <w:i/>
            <w:iCs/>
            <w:sz w:val="16"/>
            <w:szCs w:val="16"/>
            <w:lang w:val="de-DE"/>
          </w:rPr>
          <w:t>www.CASEce.com</w:t>
        </w:r>
      </w:hyperlink>
      <w:r>
        <w:rPr>
          <w:rFonts w:ascii="Gill Sans MT" w:eastAsia="Gill Sans MT" w:hAnsi="Gill Sans MT" w:cs="Gill Sans MT"/>
          <w:i/>
          <w:iCs/>
          <w:color w:val="000000" w:themeColor="text1"/>
          <w:sz w:val="16"/>
          <w:szCs w:val="16"/>
          <w:lang w:val="de-DE"/>
        </w:rPr>
        <w:t>.</w:t>
      </w:r>
    </w:p>
    <w:p w14:paraId="4291A855" w14:textId="77777777" w:rsidR="00F34E99" w:rsidRDefault="000A0C59">
      <w:pPr>
        <w:spacing w:before="100" w:beforeAutospacing="1" w:after="100" w:afterAutospacing="1" w:line="240" w:lineRule="auto"/>
        <w:rPr>
          <w:rFonts w:ascii="Gill Sans MT" w:eastAsia="Gill Sans MT" w:hAnsi="Gill Sans MT" w:cs="Gill Sans MT"/>
          <w:color w:val="000000" w:themeColor="text1"/>
          <w:sz w:val="16"/>
          <w:szCs w:val="16"/>
          <w:lang w:val="de-DE"/>
        </w:rPr>
      </w:pPr>
      <w:r>
        <w:rPr>
          <w:rFonts w:ascii="Gill Sans MT" w:eastAsia="Gill Sans MT" w:hAnsi="Gill Sans MT" w:cs="Gill Sans MT"/>
          <w:i/>
          <w:iCs/>
          <w:color w:val="000000" w:themeColor="text1"/>
          <w:sz w:val="16"/>
          <w:szCs w:val="16"/>
          <w:lang w:val="de-DE"/>
        </w:rPr>
        <w:t>CASE Construction Equipment ist eine Marke von CNH Industrial N.V., einem weltweit führenden Hersteller von Investitionsgütern. Das Unternehmen ist an der New Yorker Wertpapierbör</w:t>
      </w:r>
      <w:r>
        <w:rPr>
          <w:rFonts w:ascii="Gill Sans MT" w:eastAsia="Gill Sans MT" w:hAnsi="Gill Sans MT" w:cs="Gill Sans MT"/>
          <w:i/>
          <w:iCs/>
          <w:color w:val="000000" w:themeColor="text1"/>
          <w:sz w:val="16"/>
          <w:szCs w:val="16"/>
          <w:lang w:val="de-DE"/>
        </w:rPr>
        <w:t xml:space="preserve">se (NYSE: CNHI) und beim elektronischen Wertpapierhandel der Italienischen Börse (MI: CNHI) registriert. Weitere Informationen finden Sie online unter: </w:t>
      </w:r>
      <w:hyperlink r:id="rId18">
        <w:r>
          <w:rPr>
            <w:rStyle w:val="Hyperlink"/>
            <w:rFonts w:ascii="Gill Sans MT" w:eastAsia="Gill Sans MT" w:hAnsi="Gill Sans MT" w:cs="Gill Sans MT"/>
            <w:i/>
            <w:iCs/>
            <w:sz w:val="16"/>
            <w:szCs w:val="16"/>
            <w:lang w:val="de-DE"/>
          </w:rPr>
          <w:t>www.cnhindustrial.com</w:t>
        </w:r>
      </w:hyperlink>
      <w:r>
        <w:rPr>
          <w:rFonts w:ascii="Gill Sans MT" w:eastAsia="Gill Sans MT" w:hAnsi="Gill Sans MT" w:cs="Gill Sans MT"/>
          <w:i/>
          <w:iCs/>
          <w:color w:val="000000" w:themeColor="text1"/>
          <w:sz w:val="16"/>
          <w:szCs w:val="16"/>
          <w:lang w:val="de-DE"/>
        </w:rPr>
        <w:t>.</w:t>
      </w:r>
    </w:p>
    <w:p w14:paraId="68F3A0AA" w14:textId="77777777" w:rsidR="00F34E99" w:rsidRDefault="000A0C59">
      <w:pPr>
        <w:spacing w:after="0" w:line="240" w:lineRule="auto"/>
        <w:rPr>
          <w:rFonts w:ascii="Gill Sans MT" w:eastAsia="Gill Sans MT" w:hAnsi="Gill Sans MT" w:cs="Gill Sans MT"/>
          <w:color w:val="000000" w:themeColor="text1"/>
          <w:sz w:val="19"/>
          <w:szCs w:val="19"/>
          <w:lang w:val="de-DE"/>
        </w:rPr>
      </w:pPr>
      <w:r>
        <w:rPr>
          <w:rFonts w:ascii="Gill Sans MT" w:eastAsia="Gill Sans MT" w:hAnsi="Gill Sans MT" w:cs="Gill Sans MT"/>
          <w:b/>
          <w:bCs/>
          <w:color w:val="000000" w:themeColor="text1"/>
          <w:sz w:val="19"/>
          <w:szCs w:val="19"/>
          <w:lang w:val="de-DE"/>
        </w:rPr>
        <w:t>Weitere Informationen erhalten Sie hier:</w:t>
      </w:r>
    </w:p>
    <w:p w14:paraId="65678727" w14:textId="614DD971" w:rsidR="00F34E99" w:rsidRDefault="000A0C59">
      <w:pPr>
        <w:spacing w:after="0" w:line="240" w:lineRule="auto"/>
        <w:rPr>
          <w:rFonts w:ascii="Gill Sans MT" w:eastAsia="Gill Sans MT" w:hAnsi="Gill Sans MT" w:cs="Gill Sans MT"/>
          <w:color w:val="000000" w:themeColor="text1"/>
          <w:sz w:val="19"/>
          <w:szCs w:val="19"/>
          <w:lang w:val="de-DE"/>
        </w:rPr>
      </w:pPr>
      <w:r>
        <w:rPr>
          <w:rFonts w:ascii="Gill Sans MT" w:eastAsia="Gill Sans MT" w:hAnsi="Gill Sans MT" w:cs="Gill Sans MT"/>
          <w:color w:val="000000" w:themeColor="text1"/>
          <w:sz w:val="19"/>
          <w:szCs w:val="19"/>
          <w:lang w:val="de-DE"/>
        </w:rPr>
        <w:t>Lutz Holthaus – für Copestone im Auftrag von CASE Construction Equipment</w:t>
      </w:r>
    </w:p>
    <w:p w14:paraId="4FB8C480" w14:textId="77777777" w:rsidR="00F34E99" w:rsidRDefault="000A0C59">
      <w:pPr>
        <w:spacing w:after="0" w:line="240" w:lineRule="auto"/>
        <w:rPr>
          <w:rFonts w:ascii="Gill Sans MT" w:eastAsia="Gill Sans MT" w:hAnsi="Gill Sans MT" w:cs="Gill Sans MT"/>
          <w:color w:val="000000" w:themeColor="text1"/>
          <w:sz w:val="19"/>
          <w:szCs w:val="19"/>
          <w:lang w:val="de-DE"/>
        </w:rPr>
      </w:pPr>
      <w:r>
        <w:rPr>
          <w:rFonts w:ascii="Gill Sans MT" w:eastAsia="Gill Sans MT" w:hAnsi="Gill Sans MT" w:cs="Gill Sans MT"/>
          <w:color w:val="000000" w:themeColor="text1"/>
          <w:sz w:val="19"/>
          <w:szCs w:val="19"/>
          <w:lang w:val="de-DE"/>
        </w:rPr>
        <w:t>+49 2392 913 465</w:t>
      </w:r>
    </w:p>
    <w:p w14:paraId="7E573A76" w14:textId="77777777" w:rsidR="00F34E99" w:rsidRDefault="000A0C59">
      <w:pPr>
        <w:spacing w:after="0" w:line="240" w:lineRule="auto"/>
        <w:rPr>
          <w:rFonts w:ascii="Gill Sans MT" w:hAnsi="Gill Sans MT" w:cs="Arial"/>
          <w:sz w:val="19"/>
          <w:szCs w:val="19"/>
          <w:lang w:val="de-DE" w:eastAsia="es-ES"/>
        </w:rPr>
      </w:pPr>
      <w:hyperlink r:id="rId19">
        <w:r>
          <w:rPr>
            <w:rStyle w:val="Hyperlink"/>
            <w:rFonts w:ascii="Gill Sans MT" w:eastAsia="Gill Sans MT" w:hAnsi="Gill Sans MT" w:cs="Gill Sans MT"/>
            <w:sz w:val="19"/>
            <w:szCs w:val="19"/>
            <w:lang w:val="de-DE"/>
          </w:rPr>
          <w:t>lutz@copestone.uk.com</w:t>
        </w:r>
      </w:hyperlink>
    </w:p>
    <w:p w14:paraId="736ACA82" w14:textId="77777777" w:rsidR="00F34E99" w:rsidRDefault="00F34E99">
      <w:pPr>
        <w:rPr>
          <w:lang w:val="de-DE"/>
        </w:rPr>
      </w:pPr>
    </w:p>
    <w:sectPr w:rsidR="00F34E99">
      <w:headerReference w:type="default" r:id="rId20"/>
      <w:footerReference w:type="default" r:id="rId21"/>
      <w:headerReference w:type="first" r:id="rId22"/>
      <w:footerReference w:type="first" r:id="rId23"/>
      <w:pgSz w:w="12240" w:h="15840"/>
      <w:pgMar w:top="1980" w:right="851" w:bottom="1440" w:left="2552" w:header="540"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C8ECD" w14:textId="77777777" w:rsidR="000A0C59" w:rsidRDefault="000A0C59">
      <w:pPr>
        <w:spacing w:after="0" w:line="240" w:lineRule="auto"/>
      </w:pPr>
      <w:r>
        <w:separator/>
      </w:r>
    </w:p>
  </w:endnote>
  <w:endnote w:type="continuationSeparator" w:id="0">
    <w:p w14:paraId="0342801F" w14:textId="77777777" w:rsidR="000A0C59" w:rsidRDefault="000A0C59">
      <w:pPr>
        <w:spacing w:after="0" w:line="240" w:lineRule="auto"/>
      </w:pPr>
      <w:r>
        <w:continuationSeparator/>
      </w:r>
    </w:p>
  </w:endnote>
  <w:endnote w:type="continuationNotice" w:id="1">
    <w:p w14:paraId="2D534448" w14:textId="77777777" w:rsidR="000A0C59" w:rsidRDefault="000A0C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2292B" w14:textId="77777777" w:rsidR="00F34E99" w:rsidRDefault="00F34E99">
    <w:pPr>
      <w:pStyle w:val="Footer"/>
    </w:pPr>
  </w:p>
  <w:p w14:paraId="6B2239C0" w14:textId="77777777" w:rsidR="00F34E99" w:rsidRDefault="00F34E99">
    <w:pPr>
      <w:pStyle w:val="Footer"/>
    </w:pPr>
  </w:p>
  <w:p w14:paraId="1B0E6081" w14:textId="77777777" w:rsidR="00F34E99" w:rsidRDefault="00F34E99">
    <w:pPr>
      <w:pStyle w:val="Footer"/>
    </w:pPr>
  </w:p>
  <w:p w14:paraId="1199021E" w14:textId="77777777" w:rsidR="00F34E99" w:rsidRDefault="00F34E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D1BF5" w14:textId="77777777" w:rsidR="00F34E99" w:rsidRDefault="00F34E99">
    <w:pPr>
      <w:pStyle w:val="04FOOTER"/>
      <w:framePr w:w="182" w:h="177" w:hRule="exact" w:wrap="around" w:vAnchor="page" w:hAnchor="page" w:x="442" w:y="1638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06A07" w14:textId="77777777" w:rsidR="000A0C59" w:rsidRDefault="000A0C59">
      <w:pPr>
        <w:spacing w:after="0" w:line="240" w:lineRule="auto"/>
      </w:pPr>
      <w:r>
        <w:separator/>
      </w:r>
    </w:p>
  </w:footnote>
  <w:footnote w:type="continuationSeparator" w:id="0">
    <w:p w14:paraId="33251BC0" w14:textId="77777777" w:rsidR="000A0C59" w:rsidRDefault="000A0C59">
      <w:pPr>
        <w:spacing w:after="0" w:line="240" w:lineRule="auto"/>
      </w:pPr>
      <w:r>
        <w:continuationSeparator/>
      </w:r>
    </w:p>
  </w:footnote>
  <w:footnote w:type="continuationNotice" w:id="1">
    <w:p w14:paraId="59F01CE3" w14:textId="77777777" w:rsidR="000A0C59" w:rsidRDefault="000A0C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A1463" w14:textId="77777777" w:rsidR="00F34E99" w:rsidRDefault="000A0C59">
    <w:r>
      <w:rPr>
        <w:noProof/>
        <w:lang w:val="it-IT" w:eastAsia="zh-CN"/>
      </w:rPr>
      <w:drawing>
        <wp:anchor distT="0" distB="0" distL="114300" distR="114300" simplePos="0" relativeHeight="251658243" behindDoc="1" locked="0" layoutInCell="1" allowOverlap="1" wp14:anchorId="5667CFFA" wp14:editId="67A28C33">
          <wp:simplePos x="0" y="0"/>
          <wp:positionH relativeFrom="margin">
            <wp:posOffset>-1352550</wp:posOffset>
          </wp:positionH>
          <wp:positionV relativeFrom="margin">
            <wp:posOffset>-1197610</wp:posOffset>
          </wp:positionV>
          <wp:extent cx="1236345" cy="444500"/>
          <wp:effectExtent l="0" t="0" r="8255" b="12700"/>
          <wp:wrapNone/>
          <wp:docPr id="7" name="Picture 3" descr="03_CAS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3_CAS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6345" cy="444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2553" w:tblpY="14403"/>
      <w:tblW w:w="5449" w:type="dxa"/>
      <w:tblCellMar>
        <w:left w:w="0" w:type="dxa"/>
        <w:right w:w="0" w:type="dxa"/>
      </w:tblCellMar>
      <w:tblLook w:val="00A0" w:firstRow="1" w:lastRow="0" w:firstColumn="1" w:lastColumn="0" w:noHBand="0" w:noVBand="0"/>
    </w:tblPr>
    <w:tblGrid>
      <w:gridCol w:w="2614"/>
      <w:gridCol w:w="2835"/>
    </w:tblGrid>
    <w:tr w:rsidR="00F34E99" w14:paraId="72BE7316" w14:textId="77777777">
      <w:trPr>
        <w:trHeight w:val="735"/>
      </w:trPr>
      <w:tc>
        <w:tcPr>
          <w:tcW w:w="2614" w:type="dxa"/>
          <w:shd w:val="clear" w:color="auto" w:fill="auto"/>
          <w:vAlign w:val="bottom"/>
        </w:tcPr>
        <w:p w14:paraId="44F27E92" w14:textId="77777777" w:rsidR="00F34E99" w:rsidRDefault="00F34E99">
          <w:pPr>
            <w:pStyle w:val="04FOOTER"/>
            <w:ind w:right="-101"/>
          </w:pPr>
        </w:p>
      </w:tc>
      <w:tc>
        <w:tcPr>
          <w:tcW w:w="2835" w:type="dxa"/>
        </w:tcPr>
        <w:p w14:paraId="25EE830E" w14:textId="77777777" w:rsidR="00F34E99" w:rsidRDefault="00F34E99">
          <w:pPr>
            <w:pStyle w:val="04FOOTER"/>
            <w:ind w:right="-101"/>
          </w:pPr>
        </w:p>
        <w:p w14:paraId="4A2665A9" w14:textId="77777777" w:rsidR="00F34E99" w:rsidRDefault="00F34E99">
          <w:pPr>
            <w:pStyle w:val="04FOOTER"/>
            <w:ind w:right="-101"/>
          </w:pPr>
        </w:p>
        <w:p w14:paraId="3E16D95D" w14:textId="77777777" w:rsidR="00F34E99" w:rsidRDefault="00F34E99">
          <w:pPr>
            <w:pStyle w:val="04FOOTER"/>
            <w:ind w:right="-101"/>
          </w:pPr>
        </w:p>
        <w:p w14:paraId="0D9D9DE1" w14:textId="77777777" w:rsidR="00F34E99" w:rsidRDefault="00F34E99">
          <w:pPr>
            <w:pStyle w:val="04FOOTER"/>
            <w:ind w:right="-101"/>
          </w:pPr>
        </w:p>
      </w:tc>
    </w:tr>
  </w:tbl>
  <w:p w14:paraId="0F521598" w14:textId="77777777" w:rsidR="00F34E99" w:rsidRDefault="000A0C59">
    <w:pPr>
      <w:rPr>
        <w:rFonts w:ascii="Times New Roman" w:hAnsi="Times New Roman"/>
        <w:snapToGrid w:val="0"/>
        <w:vanish/>
        <w:w w:val="0"/>
        <w:sz w:val="0"/>
        <w:szCs w:val="0"/>
        <w:u w:color="000000"/>
        <w:bdr w:val="none" w:sz="0" w:space="0" w:color="000000"/>
        <w:shd w:val="clear" w:color="000000" w:fill="000000"/>
        <w:lang w:val="x-none" w:eastAsia="x-none" w:bidi="x-none"/>
      </w:rPr>
    </w:pPr>
    <w:r>
      <w:rPr>
        <w:noProof/>
        <w:lang w:val="it-IT" w:eastAsia="zh-CN"/>
      </w:rPr>
      <w:drawing>
        <wp:anchor distT="0" distB="0" distL="114300" distR="114300" simplePos="0" relativeHeight="251658242" behindDoc="1" locked="0" layoutInCell="1" allowOverlap="1" wp14:anchorId="61E96D52" wp14:editId="5313D91A">
          <wp:simplePos x="0" y="0"/>
          <wp:positionH relativeFrom="margin">
            <wp:posOffset>-1340485</wp:posOffset>
          </wp:positionH>
          <wp:positionV relativeFrom="margin">
            <wp:posOffset>-1083310</wp:posOffset>
          </wp:positionV>
          <wp:extent cx="1236345" cy="444500"/>
          <wp:effectExtent l="0" t="0" r="8255" b="12700"/>
          <wp:wrapNone/>
          <wp:docPr id="8" name="Picture 58" descr="03_CAS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03_CAS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6345" cy="444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zh-CN"/>
      </w:rPr>
      <w:drawing>
        <wp:anchor distT="0" distB="0" distL="114300" distR="114300" simplePos="0" relativeHeight="251658244" behindDoc="1" locked="0" layoutInCell="1" allowOverlap="1" wp14:anchorId="3B7C8D04" wp14:editId="343AB2BD">
          <wp:simplePos x="0" y="0"/>
          <wp:positionH relativeFrom="column">
            <wp:posOffset>-996950</wp:posOffset>
          </wp:positionH>
          <wp:positionV relativeFrom="page">
            <wp:posOffset>4345940</wp:posOffset>
          </wp:positionV>
          <wp:extent cx="387350" cy="3239135"/>
          <wp:effectExtent l="0" t="0" r="0" b="12065"/>
          <wp:wrapNone/>
          <wp:docPr id="9" name="Immagine 50" descr="PressReleas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0" descr="PressRelease-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7350" cy="3239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1332C5" w14:textId="77777777" w:rsidR="00F34E99" w:rsidRDefault="000A0C59">
    <w:r>
      <w:rPr>
        <w:noProof/>
        <w:lang w:val="it-IT" w:eastAsia="zh-CN"/>
      </w:rPr>
      <w:drawing>
        <wp:anchor distT="0" distB="0" distL="114300" distR="114300" simplePos="0" relativeHeight="251658241" behindDoc="1" locked="0" layoutInCell="1" allowOverlap="1" wp14:anchorId="4AE7BFCC" wp14:editId="37B5C55C">
          <wp:simplePos x="0" y="0"/>
          <wp:positionH relativeFrom="column">
            <wp:posOffset>-1096645</wp:posOffset>
          </wp:positionH>
          <wp:positionV relativeFrom="paragraph">
            <wp:posOffset>3240405</wp:posOffset>
          </wp:positionV>
          <wp:extent cx="622300" cy="368300"/>
          <wp:effectExtent l="0" t="0" r="12700" b="12700"/>
          <wp:wrapNone/>
          <wp:docPr id="10" name="Picture 10" descr="C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H"/>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22300" cy="368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zh-CN"/>
      </w:rPr>
      <mc:AlternateContent>
        <mc:Choice Requires="wps">
          <w:drawing>
            <wp:anchor distT="4294967294" distB="4294967294" distL="114300" distR="114300" simplePos="0" relativeHeight="251658240" behindDoc="0" locked="0" layoutInCell="1" allowOverlap="1" wp14:anchorId="53612281" wp14:editId="50757EA9">
              <wp:simplePos x="0" y="0"/>
              <wp:positionH relativeFrom="column">
                <wp:posOffset>-1944370</wp:posOffset>
              </wp:positionH>
              <wp:positionV relativeFrom="page">
                <wp:posOffset>3359149</wp:posOffset>
              </wp:positionV>
              <wp:extent cx="685800" cy="0"/>
              <wp:effectExtent l="0" t="0" r="25400" b="25400"/>
              <wp:wrapNone/>
              <wp:docPr id="5"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1397">
                        <a:solidFill>
                          <a:srgbClr val="000000"/>
                        </a:solidFill>
                        <a:round/>
                        <a:headEnd/>
                        <a:tailEnd/>
                      </a:ln>
                      <a:extLst>
                        <a:ext uri="{909E8E84-426E-40dd-AFC4-6F175D3DCCD1}">
                          <a14:hiddenFill xmlns:arto="http://schemas.microsoft.com/office/word/2006/arto"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8C2A36" id="Line 35"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from="-153.1pt,264.5pt" to="-99.1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" strokeweight=".11pt">
              <w10:wrap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CD38F3"/>
    <w:multiLevelType w:val="hybridMultilevel"/>
    <w:tmpl w:val="209681F2"/>
    <w:lvl w:ilvl="0" w:tplc="04090001">
      <w:start w:val="1"/>
      <w:numFmt w:val="bullet"/>
      <w:lvlText w:val=""/>
      <w:lvlJc w:val="left"/>
      <w:pPr>
        <w:ind w:left="828" w:hanging="360"/>
      </w:pPr>
      <w:rPr>
        <w:rFonts w:ascii="Symbol" w:hAnsi="Symbol" w:hint="default"/>
      </w:rPr>
    </w:lvl>
    <w:lvl w:ilvl="1" w:tplc="04090003">
      <w:start w:val="1"/>
      <w:numFmt w:val="bullet"/>
      <w:lvlText w:val="o"/>
      <w:lvlJc w:val="left"/>
      <w:pPr>
        <w:ind w:left="1548" w:hanging="360"/>
      </w:pPr>
      <w:rPr>
        <w:rFonts w:ascii="Courier New" w:hAnsi="Courier New" w:cs="Courier New" w:hint="default"/>
      </w:rPr>
    </w:lvl>
    <w:lvl w:ilvl="2" w:tplc="04090005">
      <w:start w:val="1"/>
      <w:numFmt w:val="bullet"/>
      <w:lvlText w:val=""/>
      <w:lvlJc w:val="left"/>
      <w:pPr>
        <w:ind w:left="2268" w:hanging="360"/>
      </w:pPr>
      <w:rPr>
        <w:rFonts w:ascii="Wingdings" w:hAnsi="Wingdings" w:hint="default"/>
      </w:rPr>
    </w:lvl>
    <w:lvl w:ilvl="3" w:tplc="04090001">
      <w:start w:val="1"/>
      <w:numFmt w:val="bullet"/>
      <w:lvlText w:val=""/>
      <w:lvlJc w:val="left"/>
      <w:pPr>
        <w:ind w:left="2988" w:hanging="360"/>
      </w:pPr>
      <w:rPr>
        <w:rFonts w:ascii="Symbol" w:hAnsi="Symbol" w:hint="default"/>
      </w:rPr>
    </w:lvl>
    <w:lvl w:ilvl="4" w:tplc="04090003">
      <w:start w:val="1"/>
      <w:numFmt w:val="bullet"/>
      <w:lvlText w:val="o"/>
      <w:lvlJc w:val="left"/>
      <w:pPr>
        <w:ind w:left="3708" w:hanging="360"/>
      </w:pPr>
      <w:rPr>
        <w:rFonts w:ascii="Courier New" w:hAnsi="Courier New" w:cs="Courier New" w:hint="default"/>
      </w:rPr>
    </w:lvl>
    <w:lvl w:ilvl="5" w:tplc="04090005">
      <w:start w:val="1"/>
      <w:numFmt w:val="bullet"/>
      <w:lvlText w:val=""/>
      <w:lvlJc w:val="left"/>
      <w:pPr>
        <w:ind w:left="4428" w:hanging="360"/>
      </w:pPr>
      <w:rPr>
        <w:rFonts w:ascii="Wingdings" w:hAnsi="Wingdings" w:hint="default"/>
      </w:rPr>
    </w:lvl>
    <w:lvl w:ilvl="6" w:tplc="04090001">
      <w:start w:val="1"/>
      <w:numFmt w:val="bullet"/>
      <w:lvlText w:val=""/>
      <w:lvlJc w:val="left"/>
      <w:pPr>
        <w:ind w:left="5148" w:hanging="360"/>
      </w:pPr>
      <w:rPr>
        <w:rFonts w:ascii="Symbol" w:hAnsi="Symbol" w:hint="default"/>
      </w:rPr>
    </w:lvl>
    <w:lvl w:ilvl="7" w:tplc="04090003">
      <w:start w:val="1"/>
      <w:numFmt w:val="bullet"/>
      <w:lvlText w:val="o"/>
      <w:lvlJc w:val="left"/>
      <w:pPr>
        <w:ind w:left="5868" w:hanging="360"/>
      </w:pPr>
      <w:rPr>
        <w:rFonts w:ascii="Courier New" w:hAnsi="Courier New" w:cs="Courier New" w:hint="default"/>
      </w:rPr>
    </w:lvl>
    <w:lvl w:ilvl="8" w:tplc="04090005">
      <w:start w:val="1"/>
      <w:numFmt w:val="bullet"/>
      <w:lvlText w:val=""/>
      <w:lvlJc w:val="left"/>
      <w:pPr>
        <w:ind w:left="6588" w:hanging="360"/>
      </w:pPr>
      <w:rPr>
        <w:rFonts w:ascii="Wingdings" w:hAnsi="Wingdings" w:hint="default"/>
      </w:rPr>
    </w:lvl>
  </w:abstractNum>
  <w:abstractNum w:abstractNumId="1" w15:restartNumberingAfterBreak="0">
    <w:nsid w:val="373C2F8F"/>
    <w:multiLevelType w:val="hybridMultilevel"/>
    <w:tmpl w:val="DB480500"/>
    <w:lvl w:ilvl="0" w:tplc="2F38E6F4">
      <w:numFmt w:val="bullet"/>
      <w:lvlText w:val="·"/>
      <w:lvlJc w:val="left"/>
      <w:pPr>
        <w:ind w:left="720" w:hanging="360"/>
      </w:pPr>
      <w:rPr>
        <w:rFonts w:ascii="Gill Sans MT" w:eastAsia="Times New Roman" w:hAnsi="Gill Sans M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851EAC"/>
    <w:multiLevelType w:val="hybridMultilevel"/>
    <w:tmpl w:val="A6B4B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126791"/>
    <w:multiLevelType w:val="hybridMultilevel"/>
    <w:tmpl w:val="CA48A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9342637">
    <w:abstractNumId w:val="0"/>
  </w:num>
  <w:num w:numId="2" w16cid:durableId="472523951">
    <w:abstractNumId w:val="2"/>
  </w:num>
  <w:num w:numId="3" w16cid:durableId="869101799">
    <w:abstractNumId w:val="1"/>
  </w:num>
  <w:num w:numId="4" w16cid:durableId="9279266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ExNLO0MDQwNDEwN7ZQ0lEKTi0uzszPAykwrAUAFT0BMiwAAAA="/>
  </w:docVars>
  <w:rsids>
    <w:rsidRoot w:val="00F34E99"/>
    <w:rsid w:val="000A0C59"/>
    <w:rsid w:val="00BA4194"/>
    <w:rsid w:val="00F34E9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7A58DB"/>
  <w15:chartTrackingRefBased/>
  <w15:docId w15:val="{E386160B-EBCB-4490-B012-70574E21C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pPr>
      <w:tabs>
        <w:tab w:val="center" w:pos="4819"/>
        <w:tab w:val="right" w:pos="9638"/>
      </w:tabs>
      <w:spacing w:after="0" w:line="240" w:lineRule="auto"/>
    </w:pPr>
    <w:rPr>
      <w:rFonts w:eastAsiaTheme="minorEastAsia"/>
      <w:lang w:val="en-US" w:eastAsia="zh-CN"/>
    </w:rPr>
  </w:style>
  <w:style w:type="character" w:customStyle="1" w:styleId="FooterChar">
    <w:name w:val="Footer Char"/>
    <w:basedOn w:val="DefaultParagraphFont"/>
    <w:link w:val="Footer"/>
    <w:rPr>
      <w:rFonts w:eastAsiaTheme="minorEastAsia"/>
      <w:lang w:val="en-US" w:eastAsia="zh-CN"/>
    </w:rPr>
  </w:style>
  <w:style w:type="paragraph" w:customStyle="1" w:styleId="04FOOTER">
    <w:name w:val="04_FOOTER"/>
    <w:basedOn w:val="Normal"/>
    <w:pPr>
      <w:spacing w:after="0" w:line="160" w:lineRule="exact"/>
    </w:pPr>
    <w:rPr>
      <w:rFonts w:ascii="Arial" w:eastAsia="Times New Roman" w:hAnsi="Arial" w:cs="Times New Roman"/>
      <w:color w:val="000000"/>
      <w:sz w:val="14"/>
      <w:szCs w:val="20"/>
      <w:lang w:val="en-US" w:eastAsia="it-IT"/>
    </w:rPr>
  </w:style>
  <w:style w:type="character" w:styleId="Hyperlink">
    <w:name w:val="Hyperlink"/>
    <w:unhideWhenUsed/>
    <w:rPr>
      <w:color w:val="0000FF"/>
      <w:u w:val="single"/>
    </w:rPr>
  </w:style>
  <w:style w:type="character" w:customStyle="1" w:styleId="s17">
    <w:name w:val="s17"/>
    <w:basedOn w:val="DefaultParagraphFont"/>
  </w:style>
  <w:style w:type="paragraph" w:customStyle="1" w:styleId="01TESTO">
    <w:name w:val="01_TESTO"/>
    <w:basedOn w:val="Normal"/>
    <w:pPr>
      <w:spacing w:after="0" w:line="300" w:lineRule="exact"/>
    </w:pPr>
    <w:rPr>
      <w:rFonts w:ascii="Arial" w:eastAsia="Times New Roman" w:hAnsi="Arial" w:cs="Times New Roman"/>
      <w:color w:val="000000"/>
      <w:sz w:val="19"/>
      <w:szCs w:val="20"/>
      <w:lang w:val="en-US" w:eastAsia="it-IT"/>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Pr>
      <w:rFonts w:ascii="Courier New" w:eastAsia="Times New Roman" w:hAnsi="Courier New" w:cs="Courier New"/>
      <w:sz w:val="20"/>
      <w:szCs w:val="20"/>
      <w:lang w:eastAsia="en-GB"/>
    </w:rPr>
  </w:style>
  <w:style w:type="paragraph" w:styleId="CommentText">
    <w:name w:val="annotation text"/>
    <w:basedOn w:val="Normal"/>
    <w:link w:val="CommentTextChar"/>
    <w:unhideWhenUsed/>
    <w:pPr>
      <w:spacing w:after="0" w:line="300" w:lineRule="exact"/>
    </w:pPr>
    <w:rPr>
      <w:rFonts w:ascii="Arial" w:eastAsia="Times New Roman" w:hAnsi="Arial" w:cs="Times New Roman"/>
      <w:color w:val="000000"/>
      <w:sz w:val="20"/>
      <w:szCs w:val="20"/>
      <w:lang w:val="it-IT" w:eastAsia="it-IT"/>
    </w:rPr>
  </w:style>
  <w:style w:type="character" w:customStyle="1" w:styleId="CommentTextChar">
    <w:name w:val="Comment Text Char"/>
    <w:basedOn w:val="DefaultParagraphFont"/>
    <w:link w:val="CommentText"/>
    <w:rPr>
      <w:rFonts w:ascii="Arial" w:eastAsia="Times New Roman" w:hAnsi="Arial" w:cs="Times New Roman"/>
      <w:color w:val="000000"/>
      <w:sz w:val="20"/>
      <w:szCs w:val="20"/>
      <w:lang w:val="it-IT" w:eastAsia="it-IT"/>
    </w:rPr>
  </w:style>
  <w:style w:type="paragraph" w:styleId="ListParagraph">
    <w:name w:val="List Paragraph"/>
    <w:basedOn w:val="Normal"/>
    <w:uiPriority w:val="34"/>
    <w:qFormat/>
    <w:pPr>
      <w:spacing w:after="0" w:line="240" w:lineRule="auto"/>
      <w:ind w:left="720"/>
      <w:contextualSpacing/>
    </w:pPr>
    <w:rPr>
      <w:rFonts w:ascii="Calibri" w:eastAsia="Calibri" w:hAnsi="Calibri" w:cs="Times New Roman"/>
      <w:lang w:val="en-US"/>
    </w:rPr>
  </w:style>
  <w:style w:type="character" w:styleId="CommentReference">
    <w:name w:val="annotation reference"/>
    <w:semiHidden/>
    <w:unhideWhenUsed/>
    <w:rPr>
      <w:sz w:val="16"/>
      <w:szCs w:val="16"/>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table" w:styleId="TableGrid">
    <w:name w:val="Table Grid"/>
    <w:aliases w:val="PIEDINO"/>
    <w:basedOn w:val="TableNormal"/>
    <w:uiPriority w:val="59"/>
    <w:pPr>
      <w:spacing w:after="0" w:line="160" w:lineRule="exact"/>
    </w:pPr>
    <w:rPr>
      <w:rFonts w:ascii="Arial" w:eastAsia="Times New Roman" w:hAnsi="Arial" w:cs="Times New Roman"/>
      <w:color w:val="000000"/>
      <w:sz w:val="15"/>
      <w:szCs w:val="20"/>
      <w:lang w:val="en-US"/>
    </w:rPr>
    <w:tblPr>
      <w:tblInd w:w="0" w:type="nil"/>
      <w:tblCellMar>
        <w:left w:w="0" w:type="dxa"/>
        <w:right w:w="0" w:type="dxa"/>
      </w:tblCellMar>
    </w:tblPr>
    <w:tcPr>
      <w:vAlign w:val="bottom"/>
    </w:tcPr>
  </w:style>
  <w:style w:type="character" w:styleId="UnresolvedMention">
    <w:name w:val="Unresolved Mention"/>
    <w:basedOn w:val="DefaultParagraphFont"/>
    <w:uiPriority w:val="99"/>
    <w:semiHidden/>
    <w:unhideWhenUsed/>
    <w:rPr>
      <w:color w:val="605E5C"/>
      <w:shd w:val="clear" w:color="auto" w:fill="E1DFDD"/>
    </w:rPr>
  </w:style>
  <w:style w:type="paragraph" w:styleId="CommentSubject">
    <w:name w:val="annotation subject"/>
    <w:basedOn w:val="CommentText"/>
    <w:next w:val="CommentText"/>
    <w:link w:val="CommentSubjectChar"/>
    <w:uiPriority w:val="99"/>
    <w:semiHidden/>
    <w:unhideWhenUsed/>
    <w:pPr>
      <w:spacing w:after="160" w:line="240" w:lineRule="auto"/>
    </w:pPr>
    <w:rPr>
      <w:rFonts w:asciiTheme="minorHAnsi" w:eastAsiaTheme="minorHAnsi" w:hAnsiTheme="minorHAnsi" w:cstheme="minorBidi"/>
      <w:b/>
      <w:bCs/>
      <w:color w:val="auto"/>
      <w:lang w:val="en-GB" w:eastAsia="en-US"/>
    </w:rPr>
  </w:style>
  <w:style w:type="character" w:customStyle="1" w:styleId="CommentSubjectChar">
    <w:name w:val="Comment Subject Char"/>
    <w:basedOn w:val="CommentTextChar"/>
    <w:link w:val="CommentSubject"/>
    <w:uiPriority w:val="99"/>
    <w:semiHidden/>
    <w:rPr>
      <w:rFonts w:ascii="Arial" w:eastAsia="Times New Roman" w:hAnsi="Arial" w:cs="Times New Roman"/>
      <w:b/>
      <w:bCs/>
      <w:color w:val="000000"/>
      <w:sz w:val="20"/>
      <w:szCs w:val="20"/>
      <w:lang w:val="it-IT" w:eastAsia="it-IT"/>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Revision">
    <w:name w:val="Revision"/>
    <w:hidden/>
    <w:uiPriority w:val="99"/>
    <w:semiHidden/>
    <w:pPr>
      <w:spacing w:after="0" w:line="240" w:lineRule="auto"/>
    </w:pPr>
  </w:style>
  <w:style w:type="paragraph" w:customStyle="1" w:styleId="Body">
    <w:name w:val="Body"/>
    <w:pPr>
      <w:pBdr>
        <w:top w:val="nil"/>
        <w:left w:val="nil"/>
        <w:bottom w:val="nil"/>
        <w:right w:val="nil"/>
        <w:between w:val="nil"/>
        <w:bar w:val="nil"/>
      </w:pBdr>
      <w:spacing w:after="0" w:line="240" w:lineRule="auto"/>
    </w:pPr>
    <w:rPr>
      <w:rFonts w:ascii="Calibri" w:eastAsia="Arial Unicode MS" w:hAnsi="Calibri" w:cs="Arial Unicode MS"/>
      <w:color w:val="000000"/>
      <w:sz w:val="24"/>
      <w:szCs w:val="24"/>
      <w:u w:color="000000"/>
      <w:bdr w:val="nil"/>
      <w:lang w:val="en-US" w:eastAsia="en-GB"/>
      <w14:textOutline w14:w="0" w14:cap="flat" w14:cmpd="sng" w14:algn="ctr">
        <w14:noFill/>
        <w14:prstDash w14:val="solid"/>
        <w14:bevel/>
      </w14:textOutline>
    </w:r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564163">
      <w:bodyDiv w:val="1"/>
      <w:marLeft w:val="0"/>
      <w:marRight w:val="0"/>
      <w:marTop w:val="0"/>
      <w:marBottom w:val="0"/>
      <w:divBdr>
        <w:top w:val="none" w:sz="0" w:space="0" w:color="auto"/>
        <w:left w:val="none" w:sz="0" w:space="0" w:color="auto"/>
        <w:bottom w:val="none" w:sz="0" w:space="0" w:color="auto"/>
        <w:right w:val="none" w:sz="0" w:space="0" w:color="auto"/>
      </w:divBdr>
    </w:div>
    <w:div w:id="388263432">
      <w:bodyDiv w:val="1"/>
      <w:marLeft w:val="0"/>
      <w:marRight w:val="0"/>
      <w:marTop w:val="0"/>
      <w:marBottom w:val="0"/>
      <w:divBdr>
        <w:top w:val="none" w:sz="0" w:space="0" w:color="auto"/>
        <w:left w:val="none" w:sz="0" w:space="0" w:color="auto"/>
        <w:bottom w:val="none" w:sz="0" w:space="0" w:color="auto"/>
        <w:right w:val="none" w:sz="0" w:space="0" w:color="auto"/>
      </w:divBdr>
    </w:div>
    <w:div w:id="547955139">
      <w:bodyDiv w:val="1"/>
      <w:marLeft w:val="0"/>
      <w:marRight w:val="0"/>
      <w:marTop w:val="0"/>
      <w:marBottom w:val="0"/>
      <w:divBdr>
        <w:top w:val="none" w:sz="0" w:space="0" w:color="auto"/>
        <w:left w:val="none" w:sz="0" w:space="0" w:color="auto"/>
        <w:bottom w:val="none" w:sz="0" w:space="0" w:color="auto"/>
        <w:right w:val="none" w:sz="0" w:space="0" w:color="auto"/>
      </w:divBdr>
    </w:div>
    <w:div w:id="672996339">
      <w:bodyDiv w:val="1"/>
      <w:marLeft w:val="0"/>
      <w:marRight w:val="0"/>
      <w:marTop w:val="0"/>
      <w:marBottom w:val="0"/>
      <w:divBdr>
        <w:top w:val="none" w:sz="0" w:space="0" w:color="auto"/>
        <w:left w:val="none" w:sz="0" w:space="0" w:color="auto"/>
        <w:bottom w:val="none" w:sz="0" w:space="0" w:color="auto"/>
        <w:right w:val="none" w:sz="0" w:space="0" w:color="auto"/>
      </w:divBdr>
    </w:div>
    <w:div w:id="1150710674">
      <w:bodyDiv w:val="1"/>
      <w:marLeft w:val="0"/>
      <w:marRight w:val="0"/>
      <w:marTop w:val="0"/>
      <w:marBottom w:val="0"/>
      <w:divBdr>
        <w:top w:val="none" w:sz="0" w:space="0" w:color="auto"/>
        <w:left w:val="none" w:sz="0" w:space="0" w:color="auto"/>
        <w:bottom w:val="none" w:sz="0" w:space="0" w:color="auto"/>
        <w:right w:val="none" w:sz="0" w:space="0" w:color="auto"/>
      </w:divBdr>
    </w:div>
    <w:div w:id="1336885053">
      <w:bodyDiv w:val="1"/>
      <w:marLeft w:val="0"/>
      <w:marRight w:val="0"/>
      <w:marTop w:val="0"/>
      <w:marBottom w:val="0"/>
      <w:divBdr>
        <w:top w:val="none" w:sz="0" w:space="0" w:color="auto"/>
        <w:left w:val="none" w:sz="0" w:space="0" w:color="auto"/>
        <w:bottom w:val="none" w:sz="0" w:space="0" w:color="auto"/>
        <w:right w:val="none" w:sz="0" w:space="0" w:color="auto"/>
      </w:divBdr>
    </w:div>
    <w:div w:id="1445030573">
      <w:bodyDiv w:val="1"/>
      <w:marLeft w:val="0"/>
      <w:marRight w:val="0"/>
      <w:marTop w:val="0"/>
      <w:marBottom w:val="0"/>
      <w:divBdr>
        <w:top w:val="none" w:sz="0" w:space="0" w:color="auto"/>
        <w:left w:val="none" w:sz="0" w:space="0" w:color="auto"/>
        <w:bottom w:val="none" w:sz="0" w:space="0" w:color="auto"/>
        <w:right w:val="none" w:sz="0" w:space="0" w:color="auto"/>
      </w:divBdr>
    </w:div>
    <w:div w:id="1933587535">
      <w:bodyDiv w:val="1"/>
      <w:marLeft w:val="0"/>
      <w:marRight w:val="0"/>
      <w:marTop w:val="0"/>
      <w:marBottom w:val="0"/>
      <w:divBdr>
        <w:top w:val="none" w:sz="0" w:space="0" w:color="auto"/>
        <w:left w:val="none" w:sz="0" w:space="0" w:color="auto"/>
        <w:bottom w:val="none" w:sz="0" w:space="0" w:color="auto"/>
        <w:right w:val="none" w:sz="0" w:space="0" w:color="auto"/>
      </w:divBdr>
    </w:div>
    <w:div w:id="1981418468">
      <w:bodyDiv w:val="1"/>
      <w:marLeft w:val="0"/>
      <w:marRight w:val="0"/>
      <w:marTop w:val="0"/>
      <w:marBottom w:val="0"/>
      <w:divBdr>
        <w:top w:val="none" w:sz="0" w:space="0" w:color="auto"/>
        <w:left w:val="none" w:sz="0" w:space="0" w:color="auto"/>
        <w:bottom w:val="none" w:sz="0" w:space="0" w:color="auto"/>
        <w:right w:val="none" w:sz="0" w:space="0" w:color="auto"/>
      </w:divBdr>
    </w:div>
    <w:div w:id="214377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yperlink" Target="file:///C:/Users/User/Dropbox/Nuria/AppData/Local/Microsoft/Windows/Temporary%20Internet%20Files/Content.Outlook/3POTRISZ/www.cnhindustrial.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www.casecetools.com/press-kit" TargetMode="External"/><Relationship Id="rId17" Type="http://schemas.openxmlformats.org/officeDocument/2006/relationships/hyperlink" Target="http://www.casece.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mailto:lutz@copestone.uk.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ae82bc55-adb9-499f-a89d-8cc34ff9b62e" xsi:nil="true"/>
    <SharedWithUsers xmlns="ee50a320-7cab-480e-8dab-74586aaed348">
      <UserInfo>
        <DisplayName>Mike Doggwiler</DisplayName>
        <AccountId>6</AccountId>
        <AccountType/>
      </UserInfo>
    </SharedWithUsers>
    <TaxCatchAll xmlns="ee50a320-7cab-480e-8dab-74586aaed348" xsi:nil="true"/>
    <lcf76f155ced4ddcb4097134ff3c332f xmlns="ae82bc55-adb9-499f-a89d-8cc34ff9b62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E84E073D418E04D82F7095C75FFCCF4" ma:contentTypeVersion="17" ma:contentTypeDescription="Ein neues Dokument erstellen." ma:contentTypeScope="" ma:versionID="b75c1f010b56a540fa124c39da8b902d">
  <xsd:schema xmlns:xsd="http://www.w3.org/2001/XMLSchema" xmlns:xs="http://www.w3.org/2001/XMLSchema" xmlns:p="http://schemas.microsoft.com/office/2006/metadata/properties" xmlns:ns2="ae82bc55-adb9-499f-a89d-8cc34ff9b62e" xmlns:ns3="ee50a320-7cab-480e-8dab-74586aaed348" targetNamespace="http://schemas.microsoft.com/office/2006/metadata/properties" ma:root="true" ma:fieldsID="2ccf12e84b4d31851e222ce87af6e4ac" ns2:_="" ns3:_="">
    <xsd:import namespace="ae82bc55-adb9-499f-a89d-8cc34ff9b62e"/>
    <xsd:import namespace="ee50a320-7cab-480e-8dab-74586aaed34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ServiceOCR"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82bc55-adb9-499f-a89d-8cc34ff9b6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0d27feb3-953c-4147-a3f0-f64badffb0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e50a320-7cab-480e-8dab-74586aaed348"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5fd3814f-2959-43b1-add0-4678b7f66aa1}" ma:internalName="TaxCatchAll" ma:showField="CatchAllData" ma:web="ee50a320-7cab-480e-8dab-74586aaed3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sisl xmlns:xsi="http://www.w3.org/2001/XMLSchema-instance" xmlns:xsd="http://www.w3.org/2001/XMLSchema" xmlns="http://www.boldonjames.com/2008/01/sie/internal/label" sislVersion="0" policy="18fbfd49-c8e6-4618-a77f-5ef25245836c" origin="userSelected">
  <element uid="4ecbf47d-2ec6-497d-85fc-f65b66e62fe7" value=""/>
  <element uid="588104ae-2895-48f0-94e0-4417fcf0f7f0" value=""/>
</sisl>
</file>

<file path=customXml/itemProps1.xml><?xml version="1.0" encoding="utf-8"?>
<ds:datastoreItem xmlns:ds="http://schemas.openxmlformats.org/officeDocument/2006/customXml" ds:itemID="{3F40ABDD-FD73-4910-B77B-7BE8AEBD972B}">
  <ds:schemaRefs>
    <ds:schemaRef ds:uri="http://schemas.microsoft.com/office/2006/metadata/properties"/>
    <ds:schemaRef ds:uri="http://schemas.microsoft.com/office/infopath/2007/PartnerControls"/>
    <ds:schemaRef ds:uri="ae82bc55-adb9-499f-a89d-8cc34ff9b62e"/>
    <ds:schemaRef ds:uri="ee50a320-7cab-480e-8dab-74586aaed348"/>
  </ds:schemaRefs>
</ds:datastoreItem>
</file>

<file path=customXml/itemProps2.xml><?xml version="1.0" encoding="utf-8"?>
<ds:datastoreItem xmlns:ds="http://schemas.openxmlformats.org/officeDocument/2006/customXml" ds:itemID="{3944CD03-9F89-419C-A7DC-938D436DB1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82bc55-adb9-499f-a89d-8cc34ff9b62e"/>
    <ds:schemaRef ds:uri="ee50a320-7cab-480e-8dab-74586aaed3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D86EB6-BD71-42D6-9FE9-F84392AAAF01}">
  <ds:schemaRefs>
    <ds:schemaRef ds:uri="http://schemas.openxmlformats.org/officeDocument/2006/bibliography"/>
  </ds:schemaRefs>
</ds:datastoreItem>
</file>

<file path=customXml/itemProps4.xml><?xml version="1.0" encoding="utf-8"?>
<ds:datastoreItem xmlns:ds="http://schemas.openxmlformats.org/officeDocument/2006/customXml" ds:itemID="{BD355EEF-389E-424E-8929-A384DB5D940F}">
  <ds:schemaRefs>
    <ds:schemaRef ds:uri="http://schemas.microsoft.com/sharepoint/v3/contenttype/forms"/>
  </ds:schemaRefs>
</ds:datastoreItem>
</file>

<file path=customXml/itemProps5.xml><?xml version="1.0" encoding="utf-8"?>
<ds:datastoreItem xmlns:ds="http://schemas.openxmlformats.org/officeDocument/2006/customXml" ds:itemID="{ADF65314-96E0-48A0-B8E0-D0A51B76FAE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872</Words>
  <Characters>4975</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5836</CharactersWithSpaces>
  <SharedDoc>false</SharedDoc>
  <HLinks>
    <vt:vector size="24" baseType="variant">
      <vt:variant>
        <vt:i4>8323096</vt:i4>
      </vt:variant>
      <vt:variant>
        <vt:i4>9</vt:i4>
      </vt:variant>
      <vt:variant>
        <vt:i4>0</vt:i4>
      </vt:variant>
      <vt:variant>
        <vt:i4>5</vt:i4>
      </vt:variant>
      <vt:variant>
        <vt:lpwstr>mailto:mike@copestone.uk.com</vt:lpwstr>
      </vt:variant>
      <vt:variant>
        <vt:lpwstr/>
      </vt:variant>
      <vt:variant>
        <vt:i4>4456466</vt:i4>
      </vt:variant>
      <vt:variant>
        <vt:i4>6</vt:i4>
      </vt:variant>
      <vt:variant>
        <vt:i4>0</vt:i4>
      </vt:variant>
      <vt:variant>
        <vt:i4>5</vt:i4>
      </vt:variant>
      <vt:variant>
        <vt:lpwstr>http://www.cnhindustrial.com/</vt:lpwstr>
      </vt:variant>
      <vt:variant>
        <vt:lpwstr/>
      </vt:variant>
      <vt:variant>
        <vt:i4>3539007</vt:i4>
      </vt:variant>
      <vt:variant>
        <vt:i4>3</vt:i4>
      </vt:variant>
      <vt:variant>
        <vt:i4>0</vt:i4>
      </vt:variant>
      <vt:variant>
        <vt:i4>5</vt:i4>
      </vt:variant>
      <vt:variant>
        <vt:lpwstr>http://www.casece.com/</vt:lpwstr>
      </vt:variant>
      <vt:variant>
        <vt:lpwstr/>
      </vt:variant>
      <vt:variant>
        <vt:i4>4653081</vt:i4>
      </vt:variant>
      <vt:variant>
        <vt:i4>0</vt:i4>
      </vt:variant>
      <vt:variant>
        <vt:i4>0</vt:i4>
      </vt:variant>
      <vt:variant>
        <vt:i4>5</vt:i4>
      </vt:variant>
      <vt:variant>
        <vt:lpwstr>http://www.casecetools.com/press-kit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Oddie</dc:creator>
  <cp:keywords/>
  <dc:description/>
  <cp:lastModifiedBy>Mike Doggwiler</cp:lastModifiedBy>
  <cp:revision>4</cp:revision>
  <dcterms:created xsi:type="dcterms:W3CDTF">2022-06-10T12:26:00Z</dcterms:created>
  <dcterms:modified xsi:type="dcterms:W3CDTF">2022-06-15T12:42:00Z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0x0101009E84E073D418E04D82F7095C75FFCCF4</vt:lpwstr>
  </property>
  <property fmtid="{D5CDD505-2E9C-101B-9397-08002B2CF9AE}" pid="3" name="docIndexRef">
    <vt:lpwstr>fbc18dc1-379d-4d1e-9faa-c6350b57bf73</vt:lpwstr>
  </property>
  <property fmtid="{D5CDD505-2E9C-101B-9397-08002B2CF9AE}" pid="4" name="bjSaver">
    <vt:lpwstr>nLyR4HS08U+6cYA5FRcj+CcI+JUHzUNm</vt:lpwstr>
  </property>
  <property fmtid="{D5CDD505-2E9C-101B-9397-08002B2CF9AE}" pid="5" name="bjDocumentLabelXML">
    <vt:lpwstr>&lt;?xml version="1.0" encoding="us-ascii"?&gt;&lt;sisl xmlns:xsi="http://www.w3.org/2001/XMLSchema-instance" xmlns:xsd="http://www.w3.org/2001/XMLSchema" sislVersion="0" policy="18fbfd49-c8e6-4618-a77f-5ef25245836c" origin="userSelected" xmlns="http://www.boldonj</vt:lpwstr>
  </property>
  <property fmtid="{D5CDD505-2E9C-101B-9397-08002B2CF9AE}" pid="6" name="bjDocumentLabelXML-0">
    <vt:lpwstr>ames.com/2008/01/sie/internal/label"&gt;&lt;element uid="4ecbf47d-2ec6-497d-85fc-f65b66e62fe7" value="" /&gt;&lt;element uid="588104ae-2895-48f0-94e0-4417fcf0f7f0" value="" /&gt;&lt;/sisl&gt;</vt:lpwstr>
  </property>
  <property fmtid="{D5CDD505-2E9C-101B-9397-08002B2CF9AE}" pid="7" name="bjDocumentSecurityLabel">
    <vt:lpwstr>CNH Industrial: GENERAL BUSINESS  Contains no personal data</vt:lpwstr>
  </property>
  <property fmtid="{D5CDD505-2E9C-101B-9397-08002B2CF9AE}" pid="8" name="CNH-Classification">
    <vt:lpwstr>[GENERAL BUSINESS - Contains no personal data]</vt:lpwstr>
  </property>
  <property fmtid="{D5CDD505-2E9C-101B-9397-08002B2CF9AE}" pid="9" name="MediaServiceImageTags">
    <vt:lpwstr/>
  </property>
  <property fmtid="{D5CDD505-2E9C-101B-9397-08002B2CF9AE}" pid="10" name="CNH-LabelledBy:">
    <vt:lpwstr>F70038A,10/06/2022 14:26:39,GENERAL BUSINESS</vt:lpwstr>
  </property>
  <property fmtid="{D5CDD505-2E9C-101B-9397-08002B2CF9AE}" pid="11" name="bjClsUserRVM">
    <vt:lpwstr>[]</vt:lpwstr>
  </property>
</Properties>
</file>