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080C5F" w:rsidP="45ACA703" w:rsidRDefault="300E5251" w14:paraId="55CBBE37" w14:textId="7D4F6117">
      <w:pPr>
        <w:pStyle w:val="Subtitle"/>
        <w:spacing w:line="276" w:lineRule="auto"/>
        <w:rPr>
          <w:rFonts w:ascii="Gill Sans MT" w:hAnsi="Gill Sans MT" w:eastAsia="Gill Sans MT" w:cs="Gill Sans MT"/>
          <w:b/>
          <w:bCs/>
          <w:color w:val="auto"/>
          <w:sz w:val="40"/>
          <w:szCs w:val="40"/>
          <w:lang w:val="de-DE"/>
        </w:rPr>
      </w:pPr>
      <w:bookmarkStart w:name="_Hlk527710660" w:id="0"/>
      <w:bookmarkStart w:name="_Hlk510438457" w:id="1"/>
      <w:r w:rsidRPr="45ACA703">
        <w:rPr>
          <w:rFonts w:ascii="Gill Sans MT" w:hAnsi="Gill Sans MT" w:eastAsia="Gill Sans MT" w:cs="Gill Sans MT"/>
          <w:b/>
          <w:bCs/>
          <w:color w:val="auto"/>
          <w:sz w:val="40"/>
          <w:szCs w:val="40"/>
          <w:lang w:val="de-DE"/>
        </w:rPr>
        <w:t>E</w:t>
      </w:r>
      <w:r w:rsidRPr="45ACA703" w:rsidR="4C9436E7">
        <w:rPr>
          <w:rFonts w:ascii="Gill Sans MT" w:hAnsi="Gill Sans MT" w:eastAsia="Gill Sans MT" w:cs="Gill Sans MT"/>
          <w:b/>
          <w:bCs/>
          <w:color w:val="auto"/>
          <w:sz w:val="40"/>
          <w:szCs w:val="40"/>
          <w:lang w:val="de-DE"/>
        </w:rPr>
        <w:t>in</w:t>
      </w:r>
      <w:r w:rsidRPr="45ACA703">
        <w:rPr>
          <w:rFonts w:ascii="Gill Sans MT" w:hAnsi="Gill Sans MT" w:eastAsia="Gill Sans MT" w:cs="Gill Sans MT"/>
          <w:b/>
          <w:bCs/>
          <w:color w:val="auto"/>
          <w:sz w:val="40"/>
          <w:szCs w:val="40"/>
          <w:lang w:val="de-DE"/>
        </w:rPr>
        <w:t xml:space="preserve"> CASE CX60C M</w:t>
      </w:r>
      <w:r w:rsidRPr="45ACA703" w:rsidR="682597C4">
        <w:rPr>
          <w:rFonts w:ascii="Gill Sans MT" w:hAnsi="Gill Sans MT" w:eastAsia="Gill Sans MT" w:cs="Gill Sans MT"/>
          <w:b/>
          <w:bCs/>
          <w:color w:val="auto"/>
          <w:sz w:val="40"/>
          <w:szCs w:val="40"/>
          <w:lang w:val="de-DE"/>
        </w:rPr>
        <w:t>ini</w:t>
      </w:r>
      <w:r w:rsidRPr="45ACA703">
        <w:rPr>
          <w:rFonts w:ascii="Gill Sans MT" w:hAnsi="Gill Sans MT" w:eastAsia="Gill Sans MT" w:cs="Gill Sans MT"/>
          <w:b/>
          <w:bCs/>
          <w:color w:val="auto"/>
          <w:sz w:val="40"/>
          <w:szCs w:val="40"/>
          <w:lang w:val="de-DE"/>
        </w:rPr>
        <w:t>-B</w:t>
      </w:r>
      <w:r w:rsidRPr="45ACA703" w:rsidR="2258B61C">
        <w:rPr>
          <w:rFonts w:ascii="Gill Sans MT" w:hAnsi="Gill Sans MT" w:eastAsia="Gill Sans MT" w:cs="Gill Sans MT"/>
          <w:b/>
          <w:bCs/>
          <w:color w:val="auto"/>
          <w:sz w:val="40"/>
          <w:szCs w:val="40"/>
          <w:lang w:val="de-DE"/>
        </w:rPr>
        <w:t>agger</w:t>
      </w:r>
      <w:r w:rsidRPr="45ACA703">
        <w:rPr>
          <w:rFonts w:ascii="Gill Sans MT" w:hAnsi="Gill Sans MT" w:eastAsia="Gill Sans MT" w:cs="Gill Sans MT"/>
          <w:b/>
          <w:bCs/>
          <w:color w:val="auto"/>
          <w:sz w:val="40"/>
          <w:szCs w:val="40"/>
          <w:lang w:val="de-DE"/>
        </w:rPr>
        <w:t xml:space="preserve"> A</w:t>
      </w:r>
      <w:r w:rsidRPr="45ACA703" w:rsidR="2960C8B8">
        <w:rPr>
          <w:rFonts w:ascii="Gill Sans MT" w:hAnsi="Gill Sans MT" w:eastAsia="Gill Sans MT" w:cs="Gill Sans MT"/>
          <w:b/>
          <w:bCs/>
          <w:color w:val="auto"/>
          <w:sz w:val="40"/>
          <w:szCs w:val="40"/>
          <w:lang w:val="de-DE"/>
        </w:rPr>
        <w:t>ls</w:t>
      </w:r>
      <w:r w:rsidRPr="45ACA703">
        <w:rPr>
          <w:rFonts w:ascii="Gill Sans MT" w:hAnsi="Gill Sans MT" w:eastAsia="Gill Sans MT" w:cs="Gill Sans MT"/>
          <w:b/>
          <w:bCs/>
          <w:color w:val="auto"/>
          <w:sz w:val="40"/>
          <w:szCs w:val="40"/>
          <w:lang w:val="de-DE"/>
        </w:rPr>
        <w:t xml:space="preserve"> S</w:t>
      </w:r>
      <w:r w:rsidRPr="45ACA703" w:rsidR="4DC3D453">
        <w:rPr>
          <w:rFonts w:ascii="Gill Sans MT" w:hAnsi="Gill Sans MT" w:eastAsia="Gill Sans MT" w:cs="Gill Sans MT"/>
          <w:b/>
          <w:bCs/>
          <w:color w:val="auto"/>
          <w:sz w:val="40"/>
          <w:szCs w:val="40"/>
          <w:lang w:val="de-DE"/>
        </w:rPr>
        <w:t>ymbol</w:t>
      </w:r>
      <w:r w:rsidRPr="45ACA703">
        <w:rPr>
          <w:rFonts w:ascii="Gill Sans MT" w:hAnsi="Gill Sans MT" w:eastAsia="Gill Sans MT" w:cs="Gill Sans MT"/>
          <w:b/>
          <w:bCs/>
          <w:color w:val="auto"/>
          <w:sz w:val="40"/>
          <w:szCs w:val="40"/>
          <w:lang w:val="de-DE"/>
        </w:rPr>
        <w:t xml:space="preserve"> </w:t>
      </w:r>
      <w:r w:rsidRPr="45ACA703" w:rsidR="309CA059">
        <w:rPr>
          <w:rFonts w:ascii="Gill Sans MT" w:hAnsi="Gill Sans MT" w:eastAsia="Gill Sans MT" w:cs="Gill Sans MT"/>
          <w:b/>
          <w:bCs/>
          <w:sz w:val="40"/>
          <w:szCs w:val="40"/>
          <w:lang w:val="de-DE"/>
        </w:rPr>
        <w:t>für</w:t>
      </w:r>
      <w:r w:rsidRPr="45ACA703" w:rsidR="309CA059">
        <w:rPr>
          <w:rFonts w:ascii="Gill Sans MT" w:hAnsi="Gill Sans MT" w:eastAsia="Gill Sans MT" w:cs="Gill Sans MT"/>
          <w:b/>
          <w:bCs/>
          <w:color w:val="auto"/>
          <w:sz w:val="40"/>
          <w:szCs w:val="40"/>
          <w:lang w:val="de-DE"/>
        </w:rPr>
        <w:t xml:space="preserve"> </w:t>
      </w:r>
      <w:r w:rsidRPr="45ACA703">
        <w:rPr>
          <w:rFonts w:ascii="Gill Sans MT" w:hAnsi="Gill Sans MT" w:eastAsia="Gill Sans MT" w:cs="Gill Sans MT"/>
          <w:b/>
          <w:bCs/>
          <w:color w:val="auto"/>
          <w:sz w:val="40"/>
          <w:szCs w:val="40"/>
          <w:lang w:val="de-DE"/>
        </w:rPr>
        <w:t>D</w:t>
      </w:r>
      <w:r w:rsidRPr="45ACA703" w:rsidR="1D68042A">
        <w:rPr>
          <w:rFonts w:ascii="Gill Sans MT" w:hAnsi="Gill Sans MT" w:eastAsia="Gill Sans MT" w:cs="Gill Sans MT"/>
          <w:b/>
          <w:bCs/>
          <w:color w:val="auto"/>
          <w:sz w:val="40"/>
          <w:szCs w:val="40"/>
          <w:lang w:val="de-DE"/>
        </w:rPr>
        <w:t>en</w:t>
      </w:r>
      <w:r w:rsidRPr="45ACA703">
        <w:rPr>
          <w:rFonts w:ascii="Gill Sans MT" w:hAnsi="Gill Sans MT" w:eastAsia="Gill Sans MT" w:cs="Gill Sans MT"/>
          <w:b/>
          <w:bCs/>
          <w:color w:val="auto"/>
          <w:sz w:val="40"/>
          <w:szCs w:val="40"/>
          <w:lang w:val="de-DE"/>
        </w:rPr>
        <w:t xml:space="preserve"> K</w:t>
      </w:r>
      <w:r w:rsidRPr="45ACA703" w:rsidR="542FCDAD">
        <w:rPr>
          <w:rFonts w:ascii="Gill Sans MT" w:hAnsi="Gill Sans MT" w:eastAsia="Gill Sans MT" w:cs="Gill Sans MT"/>
          <w:b/>
          <w:bCs/>
          <w:color w:val="auto"/>
          <w:sz w:val="40"/>
          <w:szCs w:val="40"/>
          <w:lang w:val="de-DE"/>
        </w:rPr>
        <w:t>ampf</w:t>
      </w:r>
      <w:r w:rsidRPr="45ACA703">
        <w:rPr>
          <w:rFonts w:ascii="Gill Sans MT" w:hAnsi="Gill Sans MT" w:eastAsia="Gill Sans MT" w:cs="Gill Sans MT"/>
          <w:b/>
          <w:bCs/>
          <w:color w:val="auto"/>
          <w:sz w:val="40"/>
          <w:szCs w:val="40"/>
          <w:lang w:val="de-DE"/>
        </w:rPr>
        <w:t xml:space="preserve"> G</w:t>
      </w:r>
      <w:r w:rsidRPr="45ACA703" w:rsidR="06FC1640">
        <w:rPr>
          <w:rFonts w:ascii="Gill Sans MT" w:hAnsi="Gill Sans MT" w:eastAsia="Gill Sans MT" w:cs="Gill Sans MT"/>
          <w:b/>
          <w:bCs/>
          <w:color w:val="auto"/>
          <w:sz w:val="40"/>
          <w:szCs w:val="40"/>
          <w:lang w:val="de-DE"/>
        </w:rPr>
        <w:t>egen</w:t>
      </w:r>
      <w:r w:rsidRPr="45ACA703">
        <w:rPr>
          <w:rFonts w:ascii="Gill Sans MT" w:hAnsi="Gill Sans MT" w:eastAsia="Gill Sans MT" w:cs="Gill Sans MT"/>
          <w:b/>
          <w:bCs/>
          <w:color w:val="auto"/>
          <w:sz w:val="40"/>
          <w:szCs w:val="40"/>
          <w:lang w:val="de-DE"/>
        </w:rPr>
        <w:t xml:space="preserve"> K</w:t>
      </w:r>
      <w:r w:rsidRPr="45ACA703" w:rsidR="5ECDBB10">
        <w:rPr>
          <w:rFonts w:ascii="Gill Sans MT" w:hAnsi="Gill Sans MT" w:eastAsia="Gill Sans MT" w:cs="Gill Sans MT"/>
          <w:b/>
          <w:bCs/>
          <w:color w:val="auto"/>
          <w:sz w:val="40"/>
          <w:szCs w:val="40"/>
          <w:lang w:val="de-DE"/>
        </w:rPr>
        <w:t>rebs In</w:t>
      </w:r>
      <w:r w:rsidRPr="45ACA703">
        <w:rPr>
          <w:rFonts w:ascii="Gill Sans MT" w:hAnsi="Gill Sans MT" w:eastAsia="Gill Sans MT" w:cs="Gill Sans MT"/>
          <w:b/>
          <w:bCs/>
          <w:color w:val="auto"/>
          <w:sz w:val="40"/>
          <w:szCs w:val="40"/>
          <w:lang w:val="de-DE"/>
        </w:rPr>
        <w:t xml:space="preserve"> D</w:t>
      </w:r>
      <w:r w:rsidRPr="45ACA703" w:rsidR="167DE348">
        <w:rPr>
          <w:rFonts w:ascii="Gill Sans MT" w:hAnsi="Gill Sans MT" w:eastAsia="Gill Sans MT" w:cs="Gill Sans MT"/>
          <w:b/>
          <w:bCs/>
          <w:color w:val="auto"/>
          <w:sz w:val="40"/>
          <w:szCs w:val="40"/>
          <w:lang w:val="de-DE"/>
        </w:rPr>
        <w:t>er</w:t>
      </w:r>
      <w:r w:rsidRPr="45ACA703">
        <w:rPr>
          <w:rFonts w:ascii="Gill Sans MT" w:hAnsi="Gill Sans MT" w:eastAsia="Gill Sans MT" w:cs="Gill Sans MT"/>
          <w:b/>
          <w:bCs/>
          <w:color w:val="auto"/>
          <w:sz w:val="40"/>
          <w:szCs w:val="40"/>
          <w:lang w:val="de-DE"/>
        </w:rPr>
        <w:t xml:space="preserve"> A</w:t>
      </w:r>
      <w:r w:rsidRPr="45ACA703" w:rsidR="209FA4EC">
        <w:rPr>
          <w:rFonts w:ascii="Gill Sans MT" w:hAnsi="Gill Sans MT" w:eastAsia="Gill Sans MT" w:cs="Gill Sans MT"/>
          <w:b/>
          <w:bCs/>
          <w:color w:val="auto"/>
          <w:sz w:val="40"/>
          <w:szCs w:val="40"/>
          <w:lang w:val="de-DE"/>
        </w:rPr>
        <w:t>ktuellen</w:t>
      </w:r>
      <w:r w:rsidRPr="45ACA703">
        <w:rPr>
          <w:rFonts w:ascii="Gill Sans MT" w:hAnsi="Gill Sans MT" w:eastAsia="Gill Sans MT" w:cs="Gill Sans MT"/>
          <w:b/>
          <w:bCs/>
          <w:color w:val="auto"/>
          <w:sz w:val="40"/>
          <w:szCs w:val="40"/>
          <w:lang w:val="de-DE"/>
        </w:rPr>
        <w:t xml:space="preserve"> MOVEMBER-A</w:t>
      </w:r>
      <w:r w:rsidRPr="45ACA703" w:rsidR="14692F52">
        <w:rPr>
          <w:rFonts w:ascii="Gill Sans MT" w:hAnsi="Gill Sans MT" w:eastAsia="Gill Sans MT" w:cs="Gill Sans MT"/>
          <w:b/>
          <w:bCs/>
          <w:color w:val="auto"/>
          <w:sz w:val="40"/>
          <w:szCs w:val="40"/>
          <w:lang w:val="de-DE"/>
        </w:rPr>
        <w:t>ktion In</w:t>
      </w:r>
      <w:r w:rsidRPr="45ACA703">
        <w:rPr>
          <w:rFonts w:ascii="Gill Sans MT" w:hAnsi="Gill Sans MT" w:eastAsia="Gill Sans MT" w:cs="Gill Sans MT"/>
          <w:b/>
          <w:bCs/>
          <w:color w:val="auto"/>
          <w:sz w:val="40"/>
          <w:szCs w:val="40"/>
          <w:lang w:val="de-DE"/>
        </w:rPr>
        <w:t xml:space="preserve"> F</w:t>
      </w:r>
      <w:r w:rsidRPr="45ACA703" w:rsidR="55CEE638">
        <w:rPr>
          <w:rFonts w:ascii="Gill Sans MT" w:hAnsi="Gill Sans MT" w:eastAsia="Gill Sans MT" w:cs="Gill Sans MT"/>
          <w:b/>
          <w:bCs/>
          <w:color w:val="auto"/>
          <w:sz w:val="40"/>
          <w:szCs w:val="40"/>
          <w:lang w:val="de-DE"/>
        </w:rPr>
        <w:t>rankreich</w:t>
      </w:r>
      <w:r w:rsidRPr="45ACA703">
        <w:rPr>
          <w:rFonts w:ascii="Gill Sans MT" w:hAnsi="Gill Sans MT" w:eastAsia="Gill Sans MT" w:cs="Gill Sans MT"/>
          <w:b/>
          <w:bCs/>
          <w:color w:val="auto"/>
          <w:sz w:val="40"/>
          <w:szCs w:val="40"/>
          <w:lang w:val="de-DE"/>
        </w:rPr>
        <w:t>.</w:t>
      </w:r>
    </w:p>
    <w:p w:rsidR="00080C5F" w:rsidP="300E5251" w:rsidRDefault="00080C5F" w14:paraId="0A37501D" w14:textId="04C03444">
      <w:pPr>
        <w:spacing w:line="276" w:lineRule="auto"/>
        <w:rPr>
          <w:rFonts w:ascii="Gill Sans MT" w:hAnsi="Gill Sans MT" w:eastAsia="Gill Sans MT" w:cs="Gill Sans MT"/>
          <w:lang w:val="de-DE"/>
        </w:rPr>
      </w:pPr>
    </w:p>
    <w:p w:rsidRPr="00E9456F" w:rsidR="00080C5F" w:rsidP="6C4ED77A" w:rsidRDefault="300E5251" w14:paraId="4042C629" w14:textId="1305D768">
      <w:pPr>
        <w:spacing w:line="276" w:lineRule="auto"/>
        <w:rPr>
          <w:rFonts w:ascii="Gill Sans MT" w:hAnsi="Gill Sans MT" w:eastAsia="Gill Sans MT" w:cs="Gill Sans MT"/>
          <w:i w:val="1"/>
          <w:iCs w:val="1"/>
          <w:lang w:val="de-DE"/>
        </w:rPr>
      </w:pPr>
      <w:r w:rsidRPr="6C4ED77A" w:rsidR="300E5251">
        <w:rPr>
          <w:rFonts w:ascii="Gill Sans MT" w:hAnsi="Gill Sans MT" w:eastAsia="Gill Sans MT" w:cs="Gill Sans MT"/>
          <w:i w:val="1"/>
          <w:iCs w:val="1"/>
          <w:lang w:val="de-DE"/>
        </w:rPr>
        <w:t xml:space="preserve">Turin, </w:t>
      </w:r>
      <w:r w:rsidRPr="6C4ED77A" w:rsidR="4BB13455">
        <w:rPr>
          <w:rFonts w:ascii="Gill Sans MT" w:hAnsi="Gill Sans MT" w:eastAsia="Gill Sans MT" w:cs="Gill Sans MT"/>
          <w:i w:val="1"/>
          <w:iCs w:val="1"/>
          <w:lang w:val="de-DE"/>
        </w:rPr>
        <w:t>24</w:t>
      </w:r>
      <w:r w:rsidRPr="6C4ED77A" w:rsidR="300E5251">
        <w:rPr>
          <w:rFonts w:ascii="Gill Sans MT" w:hAnsi="Gill Sans MT" w:eastAsia="Gill Sans MT" w:cs="Gill Sans MT"/>
          <w:i w:val="1"/>
          <w:iCs w:val="1"/>
          <w:lang w:val="de-DE"/>
        </w:rPr>
        <w:t xml:space="preserve"> November 2020</w:t>
      </w:r>
    </w:p>
    <w:p w:rsidR="00080C5F" w:rsidP="300E5251" w:rsidRDefault="300E5251" w14:paraId="35435812" w14:textId="77777777">
      <w:pPr>
        <w:spacing w:line="276" w:lineRule="auto"/>
        <w:rPr>
          <w:rFonts w:ascii="Gill Sans MT" w:hAnsi="Gill Sans MT" w:eastAsia="Gill Sans MT" w:cs="Gill Sans MT"/>
          <w:lang w:val="de-DE"/>
        </w:rPr>
      </w:pPr>
      <w:r w:rsidRPr="300E5251">
        <w:rPr>
          <w:rFonts w:ascii="Gill Sans MT" w:hAnsi="Gill Sans MT" w:eastAsia="Gill Sans MT" w:cs="Gill Sans MT"/>
          <w:lang w:val="de-DE"/>
        </w:rPr>
        <w:t xml:space="preserve">Während COVID-19 zahlreiche Todesopfer gefordert hat, zählten die medizinischen Bereiche für die Behandlung von Krebs-Erkrankungen zu den am härtesten betroffenen Sektoren. Dies war nicht nur im Vereinigten Königreich der Fall; es konnten ähnliche Entwicklungen in ganz Europa beobachtet werden. In Frankreich zum Beispiel warnten Ärzte der Ligue contre le cancer (Liga gegen Krebs) vor Verzögerungen bei der Versorgung von Krebspatienten, als Frankreich von der zweiten COVID-19-Welle getroffen wurde. </w:t>
      </w:r>
    </w:p>
    <w:p w:rsidR="00080C5F" w:rsidP="300E5251" w:rsidRDefault="300E5251" w14:paraId="163ACFC0" w14:textId="77777777">
      <w:pPr>
        <w:spacing w:line="276" w:lineRule="auto"/>
        <w:rPr>
          <w:rFonts w:ascii="Gill Sans MT" w:hAnsi="Gill Sans MT" w:eastAsia="Gill Sans MT" w:cs="Gill Sans MT"/>
          <w:lang w:val="de-DE"/>
        </w:rPr>
      </w:pPr>
      <w:r w:rsidRPr="300E5251">
        <w:rPr>
          <w:rFonts w:ascii="Gill Sans MT" w:hAnsi="Gill Sans MT" w:eastAsia="Gill Sans MT" w:cs="Gill Sans MT"/>
          <w:lang w:val="de-DE"/>
        </w:rPr>
        <w:t xml:space="preserve">Angesichts dieser Situation hat sich TPI Location (ein familiengeführtes Unternehmen das CASE-Maschinen für öffentliche Arbeiten vermietet) entschlossen, die Krebsforschung mit einer Initiative zu unterstützen, die unter dem Namen "Der Bagger des Herzens®" bekannt ist. Der CX60C Minibagger von CASE erhielt einen speziellen violetten Anstrich. In Frankreich steht diese Farbe als Symbol für alle Krebserkrankungen. Bei jeder Vermietung dieser Maschine geht ein bestimmter Prozentsatz des Gewinns als Spende an das Jean-Perrin-Center in Clermont-Ferrand, eine lokale Wohltätigkeitsorganisation. </w:t>
      </w:r>
    </w:p>
    <w:p w:rsidR="00080C5F" w:rsidP="300E5251" w:rsidRDefault="300E5251" w14:paraId="0F2131E3" w14:textId="77777777">
      <w:pPr>
        <w:spacing w:after="0" w:line="276" w:lineRule="auto"/>
        <w:jc w:val="both"/>
        <w:rPr>
          <w:rFonts w:ascii="Gill Sans MT" w:hAnsi="Gill Sans MT" w:eastAsia="Gill Sans MT" w:cs="Gill Sans MT"/>
          <w:b/>
          <w:bCs/>
          <w:sz w:val="24"/>
          <w:szCs w:val="24"/>
          <w:lang w:val="de-DE"/>
        </w:rPr>
      </w:pPr>
      <w:r w:rsidRPr="300E5251">
        <w:rPr>
          <w:rFonts w:ascii="Gill Sans MT" w:hAnsi="Gill Sans MT" w:eastAsia="Gill Sans MT" w:cs="Gill Sans MT"/>
          <w:b/>
          <w:bCs/>
          <w:sz w:val="24"/>
          <w:szCs w:val="24"/>
          <w:lang w:val="de-DE"/>
        </w:rPr>
        <w:t>Sensibilisierung für Krebserkrankungen bei Männern in der Baubranche</w:t>
      </w:r>
    </w:p>
    <w:p w:rsidRPr="00E9456F" w:rsidR="00080C5F" w:rsidP="300E5251" w:rsidRDefault="300E5251" w14:paraId="750B6E44" w14:textId="77777777">
      <w:pPr>
        <w:spacing w:after="0" w:line="276" w:lineRule="auto"/>
        <w:rPr>
          <w:rFonts w:ascii="Gill Sans MT" w:hAnsi="Gill Sans MT" w:eastAsia="Gill Sans MT" w:cs="Gill Sans MT"/>
          <w:lang w:val="de-DE"/>
        </w:rPr>
      </w:pPr>
      <w:r w:rsidRPr="300E5251">
        <w:rPr>
          <w:rFonts w:ascii="Gill Sans MT" w:hAnsi="Gill Sans MT" w:eastAsia="Gill Sans MT" w:cs="Gill Sans MT"/>
          <w:lang w:val="de-DE"/>
        </w:rPr>
        <w:t xml:space="preserve">Seit vielen Jahren hat TPI Location Partnerschaften mit Verbänden und Organisationen vor Ort aufgebaut und fördert lokale Aktionen und Projekte.  Das 1989 gegründete Unternehmen, das zunächst nur in Nièvre angesiedelt war, ist inzwischen in den Departements Burgund und Auvergne vertreten und wird ab 16. </w:t>
      </w:r>
      <w:r w:rsidRPr="00E9456F">
        <w:rPr>
          <w:rFonts w:ascii="Gill Sans MT" w:hAnsi="Gill Sans MT" w:eastAsia="Gill Sans MT" w:cs="Gill Sans MT"/>
          <w:lang w:val="de-DE"/>
        </w:rPr>
        <w:t xml:space="preserve">November 2020 </w:t>
      </w:r>
      <w:r w:rsidRPr="300E5251">
        <w:rPr>
          <w:rFonts w:ascii="Gill Sans MT" w:hAnsi="Gill Sans MT" w:eastAsia="Gill Sans MT" w:cs="Gill Sans MT"/>
          <w:lang w:val="de-DE"/>
        </w:rPr>
        <w:t>eine neue Niederlassung in Clermont-Ferrand im ZAC Raumplanungsgebiet von Fontanille in Lempdes</w:t>
      </w:r>
      <w:r w:rsidRPr="00E9456F">
        <w:rPr>
          <w:rFonts w:ascii="Gill Sans MT" w:hAnsi="Gill Sans MT" w:eastAsia="Gill Sans MT" w:cs="Gill Sans MT"/>
          <w:lang w:val="de-DE"/>
        </w:rPr>
        <w:t xml:space="preserve"> eröffnen. </w:t>
      </w:r>
    </w:p>
    <w:p w:rsidRPr="00E9456F" w:rsidR="00080C5F" w:rsidP="300E5251" w:rsidRDefault="00080C5F" w14:paraId="5DAB6C7B" w14:textId="77777777">
      <w:pPr>
        <w:spacing w:after="0" w:line="276" w:lineRule="auto"/>
        <w:rPr>
          <w:rFonts w:ascii="Gill Sans MT" w:hAnsi="Gill Sans MT" w:eastAsia="Gill Sans MT" w:cs="Gill Sans MT"/>
          <w:lang w:val="de-DE"/>
        </w:rPr>
      </w:pPr>
    </w:p>
    <w:p w:rsidRPr="00E9456F" w:rsidR="00080C5F" w:rsidP="300E5251" w:rsidRDefault="00080C5F" w14:paraId="02EB378F" w14:textId="77777777">
      <w:pPr>
        <w:spacing w:after="0" w:line="276" w:lineRule="auto"/>
        <w:jc w:val="both"/>
        <w:rPr>
          <w:rFonts w:ascii="Gill Sans MT" w:hAnsi="Gill Sans MT" w:eastAsia="Gill Sans MT" w:cs="Gill Sans MT"/>
          <w:lang w:val="de-DE"/>
        </w:rPr>
      </w:pPr>
    </w:p>
    <w:p w:rsidR="00080C5F" w:rsidP="300E5251" w:rsidRDefault="300E5251" w14:paraId="080D7C94" w14:textId="2ADF4194">
      <w:pPr>
        <w:spacing w:after="0" w:line="276" w:lineRule="auto"/>
        <w:rPr>
          <w:rFonts w:ascii="Gill Sans MT" w:hAnsi="Gill Sans MT" w:eastAsia="Gill Sans MT" w:cs="Gill Sans MT"/>
          <w:lang w:val="de-DE"/>
        </w:rPr>
      </w:pPr>
      <w:r w:rsidRPr="300E5251">
        <w:rPr>
          <w:rFonts w:ascii="Gill Sans MT" w:hAnsi="Gill Sans MT" w:eastAsia="Gill Sans MT" w:cs="Gill Sans MT"/>
          <w:lang w:val="de-DE"/>
        </w:rPr>
        <w:t xml:space="preserve">Mit der Eröffnung unserer Zweigstelle in Clermont-Ferrand haben wir festgestellt, dass wir uns für ein weltweites Problem einsetzen müssen, das uns alle direkt oder indirekt betrifft.  Nach einigen Überlegungen kamen wir auf die Idee, unserer Gemeinschaft etwas zurückzugeben, indem wir die Krebsforschung unterstützen. Denn leider kennen wir alle jemanden, der von dieser schrecklichen Krankheit betroffen ist - sei es ein geliebter Mensch, ein Kollege oder ein Freund. Unsere Mitarbeiter und Kunden sind überwiegend männlich, und 7 von 100.000 Männern erkranken jährlich an Männerkrebs (Prostata- und Hodenkrebs), der häufiger bei Männern im Alter von 20 bis 35 Jahren auftritt. Die Häufigkeit dieser Krebsarten nimmt in den westlichen Ländern jedes Jahr zu. Wir sind der Ansicht, dass es in unserer Gesellschaft bedauerlicherweise kein ausreichendes </w:t>
      </w:r>
      <w:r w:rsidRPr="300E5251">
        <w:rPr>
          <w:rFonts w:ascii="Gill Sans MT" w:hAnsi="Gill Sans MT" w:eastAsia="Gill Sans MT" w:cs="Gill Sans MT"/>
          <w:lang w:val="de-DE"/>
        </w:rPr>
        <w:lastRenderedPageBreak/>
        <w:t>Bewusstsein für diese Krankheiten gibt. Deshalb sind wir ab November Teil der internationalen Movember-Bewegung. Wie wollen sobald wie möglich mit unserer Aktion beginnen. Unser Ziel ist es, dieses Projekt um mehrere Monate zu verlängern", erklärt Marie-Hélène Bernard, Präsidentin des Centre Material Général (CMG) und der T.P.I.-Niederlassung.</w:t>
      </w:r>
    </w:p>
    <w:p w:rsidR="00080C5F" w:rsidP="300E5251" w:rsidRDefault="00080C5F" w14:paraId="6A05A809" w14:textId="77777777">
      <w:pPr>
        <w:spacing w:after="0" w:line="276" w:lineRule="auto"/>
        <w:jc w:val="both"/>
        <w:rPr>
          <w:rFonts w:ascii="Gill Sans MT" w:hAnsi="Gill Sans MT" w:eastAsia="Gill Sans MT" w:cs="Gill Sans MT"/>
          <w:lang w:val="de-DE"/>
        </w:rPr>
      </w:pPr>
    </w:p>
    <w:p w:rsidR="00080C5F" w:rsidP="300E5251" w:rsidRDefault="300E5251" w14:paraId="71ECAF3C" w14:textId="4B893F39">
      <w:pPr>
        <w:spacing w:line="276" w:lineRule="auto"/>
        <w:rPr>
          <w:rFonts w:ascii="Gill Sans MT" w:hAnsi="Gill Sans MT" w:eastAsia="Gill Sans MT" w:cs="Gill Sans MT"/>
          <w:lang w:val="de-DE"/>
        </w:rPr>
      </w:pPr>
      <w:r w:rsidRPr="300E5251">
        <w:rPr>
          <w:rFonts w:ascii="Gill Sans MT" w:hAnsi="Gill Sans MT" w:eastAsia="Gill Sans MT" w:cs="Gill Sans MT"/>
          <w:lang w:val="de-DE"/>
        </w:rPr>
        <w:t>Eine der tragenden Pfeiler der CASE Markenphilosophie besteht darin, Wege zu finden, um Gemeinschaft</w:t>
      </w:r>
      <w:r w:rsidR="00C54CCA">
        <w:rPr>
          <w:rFonts w:ascii="Gill Sans MT" w:hAnsi="Gill Sans MT" w:eastAsia="Gill Sans MT" w:cs="Gill Sans MT"/>
          <w:lang w:val="de-DE"/>
        </w:rPr>
        <w:t>en</w:t>
      </w:r>
      <w:r w:rsidRPr="300E5251">
        <w:rPr>
          <w:rFonts w:ascii="Gill Sans MT" w:hAnsi="Gill Sans MT" w:eastAsia="Gill Sans MT" w:cs="Gill Sans MT"/>
          <w:lang w:val="de-DE"/>
        </w:rPr>
        <w:t xml:space="preserve"> vor Ort zu unterstützen, sei es beim Wiederaufbau von durch Naturkatastrophen geschädigte Gemeinden oder in der Solidarität für karitative Initiativen wie diese. CASE Kunden haben außerdem die Möglichkeit, für die Wohltätigkeits-organisation zu spenden, ohne die Maschine zu mieten, um die Initiative in den kommenden Monaten zu unterstützen. </w:t>
      </w:r>
    </w:p>
    <w:p w:rsidRPr="00E9456F" w:rsidR="00080C5F" w:rsidP="45ACA703" w:rsidRDefault="300E5251" w14:paraId="4CDD2C1F" w14:textId="214D3788">
      <w:pPr>
        <w:spacing w:line="276" w:lineRule="auto"/>
        <w:rPr>
          <w:rFonts w:ascii="HelveticaNeueLT Std" w:hAnsi="HelveticaNeueLT Std"/>
          <w:b/>
          <w:bCs/>
          <w:lang w:val="de-DE"/>
        </w:rPr>
      </w:pPr>
      <w:r w:rsidRPr="45ACA703">
        <w:rPr>
          <w:rFonts w:ascii="Gill Sans MT" w:hAnsi="Gill Sans MT" w:eastAsia="Gill Sans MT" w:cs="Gill Sans MT"/>
          <w:lang w:val="de-DE"/>
        </w:rPr>
        <w:t>Für weitere Informationen über diese Initiative und um zu erfahren, wie Sie spenden können, wenden Sie sich bitte an:</w:t>
      </w:r>
      <w:r w:rsidRPr="45ACA703" w:rsidR="6D5C3263">
        <w:rPr>
          <w:rFonts w:ascii="Gill Sans MT" w:hAnsi="Gill Sans MT" w:eastAsia="Gill Sans MT" w:cs="Gill Sans MT"/>
          <w:lang w:val="de-DE"/>
        </w:rPr>
        <w:t xml:space="preserve"> </w:t>
      </w:r>
      <w:hyperlink w:history="1" r:id="rId11">
        <w:r w:rsidRPr="45ACA703" w:rsidR="6D5C3263">
          <w:rPr>
            <w:rFonts w:ascii="Gill Sans MT" w:hAnsi="Gill Sans MT" w:eastAsia="Gill Sans MT" w:cs="Gill Sans MT"/>
            <w:lang w:val="de-DE"/>
          </w:rPr>
          <w:t>abernard</w:t>
        </w:r>
        <w:r w:rsidRPr="45ACA703" w:rsidR="579822A8">
          <w:rPr>
            <w:rFonts w:ascii="Gill Sans MT" w:hAnsi="Gill Sans MT" w:eastAsia="Gill Sans MT" w:cs="Gill Sans MT"/>
            <w:lang w:val="de-DE"/>
          </w:rPr>
          <w:t>@</w:t>
        </w:r>
        <w:r w:rsidRPr="45ACA703" w:rsidR="6D5C3263">
          <w:rPr>
            <w:rStyle w:val="Hyperlink"/>
            <w:rFonts w:ascii="Gill Sans MT" w:hAnsi="Gill Sans MT" w:eastAsia="Gill Sans MT" w:cs="Gill Sans MT"/>
            <w:lang w:val="de-DE"/>
          </w:rPr>
          <w:t>tpilocation.fr</w:t>
        </w:r>
      </w:hyperlink>
    </w:p>
    <w:p w:rsidRPr="00E9456F" w:rsidR="00080C5F" w:rsidP="300E5251" w:rsidRDefault="00BD6001" w14:paraId="2CE4748B" w14:textId="2E238DB4">
      <w:pPr>
        <w:spacing w:line="276" w:lineRule="auto"/>
        <w:rPr>
          <w:rFonts w:ascii="HelveticaNeueLT Std" w:hAnsi="HelveticaNeueLT Std"/>
          <w:b/>
          <w:bCs/>
          <w:lang w:val="de-DE"/>
        </w:rPr>
      </w:pPr>
      <w:r w:rsidRPr="00E9456F">
        <w:rPr>
          <w:lang w:val="de-DE"/>
        </w:rPr>
        <w:br/>
      </w:r>
      <w:r w:rsidRPr="00E9456F">
        <w:rPr>
          <w:lang w:val="de-DE"/>
        </w:rPr>
        <w:br/>
      </w:r>
      <w:r w:rsidRPr="00E9456F" w:rsidR="300E5251">
        <w:rPr>
          <w:rFonts w:ascii="Gill Sans MT" w:hAnsi="Gill Sans MT" w:eastAsia="Gill Sans MT" w:cs="Gill Sans MT"/>
          <w:b/>
          <w:bCs/>
          <w:lang w:val="de-DE"/>
        </w:rPr>
        <w:t>Über den Händler:</w:t>
      </w:r>
    </w:p>
    <w:p w:rsidR="00080C5F" w:rsidP="300E5251" w:rsidRDefault="300E5251" w14:paraId="3925169D" w14:textId="77777777">
      <w:pPr>
        <w:spacing w:line="276" w:lineRule="auto"/>
        <w:rPr>
          <w:rFonts w:ascii="Gill Sans MT" w:hAnsi="Gill Sans MT" w:eastAsia="Gill Sans MT" w:cs="Gill Sans MT"/>
          <w:lang w:val="fr-FR"/>
        </w:rPr>
      </w:pPr>
      <w:r w:rsidRPr="45ACA703">
        <w:rPr>
          <w:rFonts w:ascii="Gill Sans MT" w:hAnsi="Gill Sans MT" w:eastAsia="Gill Sans MT" w:cs="Gill Sans MT"/>
          <w:lang w:val="de-DE"/>
        </w:rPr>
        <w:t xml:space="preserve">Marie Hélène Bernard ist seit mehr als 20 Jahren Vorsitzende des CASE-Händlers CMG (Center Material Général). </w:t>
      </w:r>
      <w:r w:rsidRPr="45ACA703">
        <w:rPr>
          <w:rFonts w:ascii="Gill Sans MT" w:hAnsi="Gill Sans MT" w:eastAsia="Gill Sans MT" w:cs="Gill Sans MT"/>
          <w:lang w:val="fr-FR"/>
        </w:rPr>
        <w:t xml:space="preserve">CMG </w:t>
      </w:r>
      <w:proofErr w:type="spellStart"/>
      <w:r w:rsidRPr="45ACA703">
        <w:rPr>
          <w:rFonts w:ascii="Gill Sans MT" w:hAnsi="Gill Sans MT" w:eastAsia="Gill Sans MT" w:cs="Gill Sans MT"/>
          <w:lang w:val="fr-FR"/>
        </w:rPr>
        <w:t>ist</w:t>
      </w:r>
      <w:proofErr w:type="spellEnd"/>
      <w:r w:rsidRPr="45ACA703">
        <w:rPr>
          <w:rFonts w:ascii="Gill Sans MT" w:hAnsi="Gill Sans MT" w:eastAsia="Gill Sans MT" w:cs="Gill Sans MT"/>
          <w:lang w:val="fr-FR"/>
        </w:rPr>
        <w:t xml:space="preserve"> </w:t>
      </w:r>
      <w:proofErr w:type="spellStart"/>
      <w:r w:rsidRPr="45ACA703">
        <w:rPr>
          <w:rFonts w:ascii="Gill Sans MT" w:hAnsi="Gill Sans MT" w:eastAsia="Gill Sans MT" w:cs="Gill Sans MT"/>
          <w:lang w:val="fr-FR"/>
        </w:rPr>
        <w:t>in</w:t>
      </w:r>
      <w:proofErr w:type="spellEnd"/>
      <w:r w:rsidRPr="45ACA703">
        <w:rPr>
          <w:rFonts w:ascii="Gill Sans MT" w:hAnsi="Gill Sans MT" w:eastAsia="Gill Sans MT" w:cs="Gill Sans MT"/>
          <w:lang w:val="fr-FR"/>
        </w:rPr>
        <w:t xml:space="preserve"> 11 </w:t>
      </w:r>
      <w:proofErr w:type="spellStart"/>
      <w:r w:rsidRPr="45ACA703">
        <w:rPr>
          <w:rFonts w:ascii="Gill Sans MT" w:hAnsi="Gill Sans MT" w:eastAsia="Gill Sans MT" w:cs="Gill Sans MT"/>
          <w:lang w:val="fr-FR"/>
        </w:rPr>
        <w:t>Departements</w:t>
      </w:r>
      <w:proofErr w:type="spellEnd"/>
      <w:r w:rsidRPr="45ACA703">
        <w:rPr>
          <w:rFonts w:ascii="Gill Sans MT" w:hAnsi="Gill Sans MT" w:eastAsia="Gill Sans MT" w:cs="Gill Sans MT"/>
          <w:lang w:val="fr-FR"/>
        </w:rPr>
        <w:t xml:space="preserve"> </w:t>
      </w:r>
      <w:proofErr w:type="spellStart"/>
      <w:proofErr w:type="gramStart"/>
      <w:r w:rsidRPr="45ACA703">
        <w:rPr>
          <w:rFonts w:ascii="Gill Sans MT" w:hAnsi="Gill Sans MT" w:eastAsia="Gill Sans MT" w:cs="Gill Sans MT"/>
          <w:lang w:val="fr-FR"/>
        </w:rPr>
        <w:t>vertreten</w:t>
      </w:r>
      <w:proofErr w:type="spellEnd"/>
      <w:r w:rsidRPr="45ACA703">
        <w:rPr>
          <w:rFonts w:ascii="Gill Sans MT" w:hAnsi="Gill Sans MT" w:eastAsia="Gill Sans MT" w:cs="Gill Sans MT"/>
          <w:lang w:val="fr-FR"/>
        </w:rPr>
        <w:t>:</w:t>
      </w:r>
      <w:proofErr w:type="gramEnd"/>
      <w:r w:rsidRPr="45ACA703">
        <w:rPr>
          <w:rFonts w:ascii="Gill Sans MT" w:hAnsi="Gill Sans MT" w:eastAsia="Gill Sans MT" w:cs="Gill Sans MT"/>
          <w:lang w:val="fr-FR"/>
        </w:rPr>
        <w:t xml:space="preserve"> Allier, Aveyron, Cantal, Cher, Corrèze, Haute-Loire, Lot, Lozère, Nièvre, Puy de Dôme, Yonne.</w:t>
      </w:r>
    </w:p>
    <w:p w:rsidR="00080C5F" w:rsidP="45ACA703" w:rsidRDefault="36D39EA3" w14:paraId="46BEAB8D" w14:textId="58AB1193">
      <w:pPr>
        <w:spacing w:line="360" w:lineRule="auto"/>
        <w:jc w:val="both"/>
        <w:rPr>
          <w:rFonts w:ascii="Gill Sans MT" w:hAnsi="Gill Sans MT" w:eastAsia="Gill Sans MT" w:cs="Gill Sans MT"/>
          <w:b/>
          <w:bCs/>
          <w:color w:val="000000" w:themeColor="text1"/>
          <w:sz w:val="19"/>
          <w:szCs w:val="19"/>
          <w:lang w:val="de"/>
        </w:rPr>
      </w:pPr>
      <w:r w:rsidRPr="45ACA703">
        <w:rPr>
          <w:rFonts w:ascii="Gill Sans MT" w:hAnsi="Gill Sans MT" w:eastAsia="Gill Sans MT" w:cs="Gill Sans MT"/>
          <w:b/>
          <w:bCs/>
          <w:color w:val="000000" w:themeColor="text1"/>
          <w:sz w:val="19"/>
          <w:szCs w:val="19"/>
          <w:lang w:val="de"/>
        </w:rPr>
        <w:t>Hinweise für Redakteure</w:t>
      </w:r>
    </w:p>
    <w:p w:rsidR="00080C5F" w:rsidP="45ACA703" w:rsidRDefault="36D39EA3" w14:paraId="6D0F78EE" w14:textId="67A08720">
      <w:pPr>
        <w:spacing w:line="360" w:lineRule="auto"/>
        <w:rPr>
          <w:rFonts w:ascii="Gill Sans MT" w:hAnsi="Gill Sans MT" w:eastAsia="Gill Sans MT" w:cs="Gill Sans MT"/>
          <w:color w:val="000000" w:themeColor="text1"/>
          <w:sz w:val="19"/>
          <w:szCs w:val="19"/>
          <w:lang w:val="de"/>
        </w:rPr>
      </w:pPr>
      <w:r w:rsidRPr="45ACA703">
        <w:rPr>
          <w:rFonts w:ascii="Gill Sans MT" w:hAnsi="Gill Sans MT" w:eastAsia="Gill Sans MT" w:cs="Gill Sans MT"/>
          <w:color w:val="000000" w:themeColor="text1"/>
          <w:sz w:val="19"/>
          <w:szCs w:val="19"/>
          <w:lang w:val="de"/>
        </w:rPr>
        <w:t xml:space="preserve">Von unserer Website können Sie Texte, Videos und Bilddateien in hoher Auflösung (JPG 300 DPI, CMYK) zu dieser Pressemeldung herunterladen: </w:t>
      </w:r>
      <w:hyperlink w:history="1" r:id="rId12">
        <w:r w:rsidRPr="45ACA703" w:rsidR="2E259B4C">
          <w:rPr>
            <w:rStyle w:val="Hyperlink"/>
            <w:rFonts w:ascii="Gill Sans MT" w:hAnsi="Gill Sans MT" w:eastAsia="Gill Sans MT" w:cs="Gill Sans MT"/>
            <w:sz w:val="19"/>
            <w:szCs w:val="19"/>
            <w:lang w:val="de"/>
          </w:rPr>
          <w:t>www.casetools.com/press-kit</w:t>
        </w:r>
      </w:hyperlink>
      <w:r w:rsidRPr="45ACA703" w:rsidR="2E259B4C">
        <w:rPr>
          <w:rFonts w:ascii="Gill Sans MT" w:hAnsi="Gill Sans MT" w:eastAsia="Gill Sans MT" w:cs="Gill Sans MT"/>
          <w:color w:val="000000" w:themeColor="text1"/>
          <w:sz w:val="19"/>
          <w:szCs w:val="19"/>
          <w:lang w:val="de"/>
        </w:rPr>
        <w:t xml:space="preserve"> </w:t>
      </w:r>
    </w:p>
    <w:p w:rsidR="00080C5F" w:rsidP="45ACA703" w:rsidRDefault="36D39EA3" w14:paraId="618F7288" w14:textId="17F147F2">
      <w:pPr>
        <w:spacing w:line="360" w:lineRule="auto"/>
        <w:rPr>
          <w:rFonts w:ascii="Calibri" w:hAnsi="Calibri" w:eastAsia="Calibri" w:cs="Calibri"/>
          <w:color w:val="000000" w:themeColor="text1"/>
          <w:sz w:val="19"/>
          <w:szCs w:val="19"/>
          <w:lang w:val="it"/>
        </w:rPr>
      </w:pPr>
      <w:proofErr w:type="spellStart"/>
      <w:r w:rsidRPr="45ACA703">
        <w:rPr>
          <w:rFonts w:ascii="Gill Sans MT" w:hAnsi="Gill Sans MT" w:eastAsia="Gill Sans MT" w:cs="Gill Sans MT"/>
          <w:color w:val="212121"/>
          <w:sz w:val="19"/>
          <w:szCs w:val="19"/>
          <w:lang w:val="en-US"/>
        </w:rPr>
        <w:t>Folgen</w:t>
      </w:r>
      <w:proofErr w:type="spellEnd"/>
      <w:r w:rsidRPr="45ACA703">
        <w:rPr>
          <w:rFonts w:ascii="Gill Sans MT" w:hAnsi="Gill Sans MT" w:eastAsia="Gill Sans MT" w:cs="Gill Sans MT"/>
          <w:color w:val="212121"/>
          <w:sz w:val="19"/>
          <w:szCs w:val="19"/>
          <w:lang w:val="en-US"/>
        </w:rPr>
        <w:t xml:space="preserve"> Sie </w:t>
      </w:r>
      <w:proofErr w:type="spellStart"/>
      <w:r w:rsidRPr="45ACA703">
        <w:rPr>
          <w:rFonts w:ascii="Gill Sans MT" w:hAnsi="Gill Sans MT" w:eastAsia="Gill Sans MT" w:cs="Gill Sans MT"/>
          <w:color w:val="212121"/>
          <w:sz w:val="19"/>
          <w:szCs w:val="19"/>
          <w:lang w:val="en-US"/>
        </w:rPr>
        <w:t>uns</w:t>
      </w:r>
      <w:proofErr w:type="spellEnd"/>
      <w:r w:rsidRPr="45ACA703">
        <w:rPr>
          <w:rFonts w:ascii="Gill Sans MT" w:hAnsi="Gill Sans MT" w:eastAsia="Gill Sans MT" w:cs="Gill Sans MT"/>
          <w:color w:val="212121"/>
          <w:sz w:val="19"/>
          <w:szCs w:val="19"/>
          <w:lang w:val="en-US"/>
        </w:rPr>
        <w:t xml:space="preserve"> auf: </w:t>
      </w:r>
      <w:r w:rsidRPr="45ACA703">
        <w:rPr>
          <w:rFonts w:ascii="Gill Sans MT" w:hAnsi="Gill Sans MT" w:eastAsia="Gill Sans MT" w:cs="Gill Sans MT"/>
          <w:lang w:val="en-US"/>
        </w:rPr>
        <w:t xml:space="preserve"> </w:t>
      </w:r>
      <w:r w:rsidRPr="45ACA703">
        <w:rPr>
          <w:rFonts w:ascii="Calibri" w:hAnsi="Calibri" w:eastAsia="Calibri" w:cs="Calibri"/>
          <w:color w:val="000000" w:themeColor="text1"/>
          <w:sz w:val="19"/>
          <w:szCs w:val="19"/>
          <w:lang w:val="it"/>
        </w:rPr>
        <w:t xml:space="preserve">      </w:t>
      </w:r>
    </w:p>
    <w:p w:rsidR="00080C5F" w:rsidP="45ACA703" w:rsidRDefault="0E20B669" w14:paraId="6785079B" w14:textId="2C1CB865">
      <w:pPr>
        <w:spacing w:line="360" w:lineRule="auto"/>
      </w:pPr>
      <w:r w:rsidR="0E20B669">
        <w:drawing>
          <wp:inline wp14:editId="4BB13455" wp14:anchorId="79D7D6C6">
            <wp:extent cx="200025" cy="200025"/>
            <wp:effectExtent l="0" t="0" r="0" b="0"/>
            <wp:docPr id="1774870673" name="Grafik 1774870673" title=""/>
            <wp:cNvGraphicFramePr>
              <a:graphicFrameLocks noChangeAspect="1"/>
            </wp:cNvGraphicFramePr>
            <a:graphic>
              <a:graphicData uri="http://schemas.openxmlformats.org/drawingml/2006/picture">
                <pic:pic>
                  <pic:nvPicPr>
                    <pic:cNvPr id="0" name="Grafik 1774870673"/>
                    <pic:cNvPicPr/>
                  </pic:nvPicPr>
                  <pic:blipFill>
                    <a:blip r:embed="R90dca576a83d4b7e">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00025" cy="200025"/>
                    </a:xfrm>
                    <a:prstGeom prst="rect">
                      <a:avLst/>
                    </a:prstGeom>
                  </pic:spPr>
                </pic:pic>
              </a:graphicData>
            </a:graphic>
          </wp:inline>
        </w:drawing>
      </w:r>
      <w:r w:rsidR="0E20B669">
        <w:rPr/>
        <w:t xml:space="preserve"> </w:t>
      </w:r>
      <w:r w:rsidR="0E20B669">
        <w:drawing>
          <wp:inline wp14:editId="2ED7980C" wp14:anchorId="2ACFEC84">
            <wp:extent cx="200025" cy="200025"/>
            <wp:effectExtent l="0" t="0" r="0" b="0"/>
            <wp:docPr id="529299809" name="Grafik 529299809" title=""/>
            <wp:cNvGraphicFramePr>
              <a:graphicFrameLocks noChangeAspect="1"/>
            </wp:cNvGraphicFramePr>
            <a:graphic>
              <a:graphicData uri="http://schemas.openxmlformats.org/drawingml/2006/picture">
                <pic:pic>
                  <pic:nvPicPr>
                    <pic:cNvPr id="0" name="Grafik 529299809"/>
                    <pic:cNvPicPr/>
                  </pic:nvPicPr>
                  <pic:blipFill>
                    <a:blip r:embed="R20ced91141564e45">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00025" cy="200025"/>
                    </a:xfrm>
                    <a:prstGeom prst="rect">
                      <a:avLst/>
                    </a:prstGeom>
                  </pic:spPr>
                </pic:pic>
              </a:graphicData>
            </a:graphic>
          </wp:inline>
        </w:drawing>
      </w:r>
      <w:r w:rsidR="0E20B669">
        <w:rPr/>
        <w:t xml:space="preserve"> </w:t>
      </w:r>
      <w:r w:rsidR="0E20B669">
        <w:drawing>
          <wp:inline wp14:editId="7B78616E" wp14:anchorId="273ABF65">
            <wp:extent cx="200025" cy="200025"/>
            <wp:effectExtent l="0" t="0" r="0" b="0"/>
            <wp:docPr id="1229758972" name="Grafik 1229758972" title=""/>
            <wp:cNvGraphicFramePr>
              <a:graphicFrameLocks noChangeAspect="1"/>
            </wp:cNvGraphicFramePr>
            <a:graphic>
              <a:graphicData uri="http://schemas.openxmlformats.org/drawingml/2006/picture">
                <pic:pic>
                  <pic:nvPicPr>
                    <pic:cNvPr id="0" name="Grafik 1229758972"/>
                    <pic:cNvPicPr/>
                  </pic:nvPicPr>
                  <pic:blipFill>
                    <a:blip r:embed="Rdb1b132eb4fc4832">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00025" cy="200025"/>
                    </a:xfrm>
                    <a:prstGeom prst="rect">
                      <a:avLst/>
                    </a:prstGeom>
                  </pic:spPr>
                </pic:pic>
              </a:graphicData>
            </a:graphic>
          </wp:inline>
        </w:drawing>
      </w:r>
      <w:r w:rsidR="0E20B669">
        <w:rPr/>
        <w:t xml:space="preserve"> </w:t>
      </w:r>
      <w:r w:rsidR="0E20B669">
        <w:drawing>
          <wp:inline wp14:editId="075C44A1" wp14:anchorId="64CFD041">
            <wp:extent cx="200025" cy="200025"/>
            <wp:effectExtent l="0" t="0" r="0" b="0"/>
            <wp:docPr id="501895180" name="Grafik 501895180" title=""/>
            <wp:cNvGraphicFramePr>
              <a:graphicFrameLocks noChangeAspect="1"/>
            </wp:cNvGraphicFramePr>
            <a:graphic>
              <a:graphicData uri="http://schemas.openxmlformats.org/drawingml/2006/picture">
                <pic:pic>
                  <pic:nvPicPr>
                    <pic:cNvPr id="0" name="Grafik 501895180"/>
                    <pic:cNvPicPr/>
                  </pic:nvPicPr>
                  <pic:blipFill>
                    <a:blip r:embed="R425c027cc7214d10">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00025" cy="200025"/>
                    </a:xfrm>
                    <a:prstGeom prst="rect">
                      <a:avLst/>
                    </a:prstGeom>
                  </pic:spPr>
                </pic:pic>
              </a:graphicData>
            </a:graphic>
          </wp:inline>
        </w:drawing>
      </w:r>
    </w:p>
    <w:p w:rsidR="00080C5F" w:rsidP="45ACA703" w:rsidRDefault="36D39EA3" w14:paraId="3BB404D0" w14:textId="13A30822">
      <w:pPr>
        <w:spacing w:line="360" w:lineRule="auto"/>
        <w:rPr>
          <w:rFonts w:ascii="Gill Sans MT" w:hAnsi="Gill Sans MT" w:eastAsia="Gill Sans MT" w:cs="Gill Sans MT"/>
          <w:i/>
          <w:iCs/>
          <w:color w:val="000000" w:themeColor="text1"/>
          <w:sz w:val="16"/>
          <w:szCs w:val="16"/>
          <w:lang w:val="de"/>
        </w:rPr>
      </w:pPr>
      <w:r w:rsidRPr="45ACA703">
        <w:rPr>
          <w:rFonts w:ascii="Gill Sans MT" w:hAnsi="Gill Sans MT" w:eastAsia="Gill Sans MT" w:cs="Gill Sans MT"/>
          <w:i/>
          <w:iCs/>
          <w:color w:val="000000" w:themeColor="text1"/>
          <w:sz w:val="16"/>
          <w:szCs w:val="16"/>
          <w:lang w:val="de"/>
        </w:rPr>
        <w:t xml:space="preserve">CASE Construction Equipment vertreibt auf der ganzen Welt ein komplettes Angebot verschiedenster Baumaschinen, darunter Baggerlader (Marktführer), Raupen- und Mobilbagger, Motorgrader, Radlader, Kompaktlader, 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 </w:t>
      </w:r>
      <w:hyperlink w:history="1" r:id="rId17">
        <w:r w:rsidRPr="45ACA703">
          <w:rPr>
            <w:rStyle w:val="Hyperlink"/>
            <w:rFonts w:ascii="Gill Sans MT" w:hAnsi="Gill Sans MT" w:eastAsia="Gill Sans MT" w:cs="Gill Sans MT"/>
            <w:i/>
            <w:iCs/>
            <w:sz w:val="16"/>
            <w:szCs w:val="16"/>
            <w:lang w:val="de"/>
          </w:rPr>
          <w:t>www.CASEce.com</w:t>
        </w:r>
      </w:hyperlink>
      <w:r w:rsidRPr="45ACA703">
        <w:rPr>
          <w:rFonts w:ascii="Gill Sans MT" w:hAnsi="Gill Sans MT" w:eastAsia="Gill Sans MT" w:cs="Gill Sans MT"/>
          <w:i/>
          <w:iCs/>
          <w:color w:val="000000" w:themeColor="text1"/>
          <w:sz w:val="16"/>
          <w:szCs w:val="16"/>
          <w:lang w:val="de"/>
        </w:rPr>
        <w:t>.</w:t>
      </w:r>
    </w:p>
    <w:p w:rsidR="00080C5F" w:rsidP="45ACA703" w:rsidRDefault="36D39EA3" w14:paraId="10E191E3" w14:textId="53F486E1">
      <w:pPr>
        <w:spacing w:line="360" w:lineRule="auto"/>
        <w:rPr>
          <w:rFonts w:ascii="Gill Sans MT" w:hAnsi="Gill Sans MT" w:eastAsia="Gill Sans MT" w:cs="Gill Sans MT"/>
          <w:i/>
          <w:iCs/>
          <w:color w:val="000000" w:themeColor="text1"/>
          <w:sz w:val="16"/>
          <w:szCs w:val="16"/>
          <w:lang w:val="de"/>
        </w:rPr>
      </w:pPr>
      <w:r w:rsidRPr="45ACA703">
        <w:rPr>
          <w:rFonts w:ascii="Gill Sans MT" w:hAnsi="Gill Sans MT" w:eastAsia="Gill Sans MT" w:cs="Gill Sans MT"/>
          <w:i/>
          <w:iCs/>
          <w:color w:val="000000" w:themeColor="text1"/>
          <w:sz w:val="16"/>
          <w:szCs w:val="16"/>
          <w:lang w:val="de"/>
        </w:rPr>
        <w:t xml:space="preserve">CASE Construction Equipment ist eine Marke von CNH Industrial N.V., einem weltweit führenden Hersteller von Investitionsgütern. Das Unternehmen ist an der New Yorker Wertpapierbörse (NYSE: CNHI) und beim elektronischen Wertpapierhandel der Italienischen Börse (MI: CNHI) registriert. Weitere Informationen finden Sie online unter: </w:t>
      </w:r>
      <w:hyperlink w:history="1" r:id="rId18">
        <w:r w:rsidRPr="45ACA703">
          <w:rPr>
            <w:rStyle w:val="Hyperlink"/>
            <w:rFonts w:ascii="Gill Sans MT" w:hAnsi="Gill Sans MT" w:eastAsia="Gill Sans MT" w:cs="Gill Sans MT"/>
            <w:i/>
            <w:iCs/>
            <w:sz w:val="16"/>
            <w:szCs w:val="16"/>
            <w:lang w:val="de"/>
          </w:rPr>
          <w:t>www.cnhindustrial.com</w:t>
        </w:r>
      </w:hyperlink>
    </w:p>
    <w:p w:rsidR="00080C5F" w:rsidP="45ACA703" w:rsidRDefault="36D39EA3" w14:paraId="04A2147E" w14:textId="139B81C6">
      <w:pPr>
        <w:spacing w:line="360" w:lineRule="auto"/>
        <w:rPr>
          <w:rFonts w:ascii="Gill Sans MT" w:hAnsi="Gill Sans MT" w:eastAsia="Gill Sans MT" w:cs="Gill Sans MT"/>
          <w:b/>
          <w:bCs/>
          <w:color w:val="000000" w:themeColor="text1"/>
          <w:sz w:val="18"/>
          <w:szCs w:val="18"/>
          <w:lang w:val="de"/>
        </w:rPr>
      </w:pPr>
      <w:r w:rsidRPr="45ACA703">
        <w:rPr>
          <w:rFonts w:ascii="Gill Sans MT" w:hAnsi="Gill Sans MT" w:eastAsia="Gill Sans MT" w:cs="Gill Sans MT"/>
          <w:b/>
          <w:bCs/>
          <w:color w:val="000000" w:themeColor="text1"/>
          <w:sz w:val="18"/>
          <w:szCs w:val="18"/>
          <w:lang w:val="de"/>
        </w:rPr>
        <w:t>Weitere Informationen erhalten Sie hier:</w:t>
      </w:r>
    </w:p>
    <w:p w:rsidRPr="00E9456F" w:rsidR="00080C5F" w:rsidP="45ACA703" w:rsidRDefault="36D39EA3" w14:paraId="1B2A9139" w14:textId="44447CC4">
      <w:pPr>
        <w:spacing w:after="0" w:line="360" w:lineRule="auto"/>
        <w:rPr>
          <w:rFonts w:ascii="Gill Sans MT" w:hAnsi="Gill Sans MT" w:eastAsia="Gill Sans MT" w:cs="Gill Sans MT"/>
          <w:color w:val="000000" w:themeColor="text1"/>
          <w:sz w:val="18"/>
          <w:szCs w:val="18"/>
          <w:lang w:val="en-US"/>
        </w:rPr>
      </w:pPr>
      <w:r w:rsidRPr="00E9456F">
        <w:rPr>
          <w:rFonts w:ascii="Gill Sans MT" w:hAnsi="Gill Sans MT" w:eastAsia="Gill Sans MT" w:cs="Gill Sans MT"/>
          <w:color w:val="000000" w:themeColor="text1"/>
          <w:sz w:val="18"/>
          <w:szCs w:val="18"/>
          <w:lang w:val="en-US"/>
        </w:rPr>
        <w:t>Lutz Holthaus – Copestone on behalf of CASE Construction Equipment</w:t>
      </w:r>
    </w:p>
    <w:p w:rsidR="00080C5F" w:rsidP="45ACA703" w:rsidRDefault="36D39EA3" w14:paraId="2CDBDA64" w14:textId="0EE04837">
      <w:pPr>
        <w:spacing w:after="0" w:line="360" w:lineRule="auto"/>
        <w:rPr>
          <w:rFonts w:ascii="Gill Sans MT" w:hAnsi="Gill Sans MT" w:eastAsia="Gill Sans MT" w:cs="Gill Sans MT"/>
          <w:color w:val="000000" w:themeColor="text1"/>
          <w:sz w:val="18"/>
          <w:szCs w:val="18"/>
          <w:lang w:val="de"/>
        </w:rPr>
      </w:pPr>
      <w:r w:rsidRPr="45ACA703">
        <w:rPr>
          <w:rFonts w:ascii="Gill Sans MT" w:hAnsi="Gill Sans MT" w:eastAsia="Gill Sans MT" w:cs="Gill Sans MT"/>
          <w:color w:val="000000" w:themeColor="text1"/>
          <w:sz w:val="18"/>
          <w:szCs w:val="18"/>
          <w:lang w:val="de"/>
        </w:rPr>
        <w:t>+49 2392 913 465</w:t>
      </w:r>
    </w:p>
    <w:p w:rsidR="00080C5F" w:rsidP="45ACA703" w:rsidRDefault="36D39EA3" w14:paraId="1886C892" w14:textId="370468F3">
      <w:pPr>
        <w:spacing w:after="0" w:line="360" w:lineRule="auto"/>
        <w:rPr>
          <w:rFonts w:ascii="Gill Sans MT" w:hAnsi="Gill Sans MT" w:eastAsia="Gill Sans MT" w:cs="Gill Sans MT"/>
          <w:color w:val="000000" w:themeColor="text1"/>
          <w:sz w:val="18"/>
          <w:szCs w:val="18"/>
          <w:lang w:val="de"/>
        </w:rPr>
      </w:pPr>
      <w:r w:rsidRPr="45ACA703">
        <w:rPr>
          <w:rFonts w:ascii="Gill Sans MT" w:hAnsi="Gill Sans MT" w:eastAsia="Gill Sans MT" w:cs="Gill Sans MT"/>
          <w:color w:val="000000" w:themeColor="text1"/>
          <w:sz w:val="18"/>
          <w:szCs w:val="18"/>
          <w:lang w:val="de"/>
        </w:rPr>
        <w:t>Lutz@copestone.uk.com</w:t>
      </w:r>
    </w:p>
    <w:p w:rsidR="00080C5F" w:rsidP="45ACA703" w:rsidRDefault="00080C5F" w14:paraId="5A39BBE3" w14:textId="7DA50291">
      <w:pPr>
        <w:spacing w:line="360" w:lineRule="auto"/>
        <w:rPr>
          <w:rStyle w:val="Hyperlink"/>
          <w:rFonts w:ascii="Gill Sans MT" w:hAnsi="Gill Sans MT" w:eastAsia="Gill Sans MT" w:cs="Gill Sans MT"/>
          <w:sz w:val="18"/>
          <w:szCs w:val="18"/>
          <w:lang w:val="de"/>
        </w:rPr>
      </w:pPr>
    </w:p>
    <w:bookmarkEnd w:id="0"/>
    <w:bookmarkEnd w:id="1"/>
    <w:p w:rsidR="00080C5F" w:rsidRDefault="00080C5F" w14:paraId="41C8F396" w14:textId="77777777">
      <w:pPr>
        <w:spacing w:line="276" w:lineRule="auto"/>
        <w:rPr>
          <w:rFonts w:ascii="HelveticaNeueLT Std" w:hAnsi="HelveticaNeueLT Std" w:cs="Arial"/>
          <w:sz w:val="19"/>
          <w:szCs w:val="19"/>
          <w:lang w:eastAsia="es-ES"/>
        </w:rPr>
      </w:pPr>
    </w:p>
    <w:sectPr w:rsidR="00080C5F">
      <w:headerReference w:type="default" r:id="rId19"/>
      <w:footerReference w:type="default" r:id="rId20"/>
      <w:headerReference w:type="first" r:id="rId21"/>
      <w:footerReference w:type="first" r:id="rId22"/>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D6001" w:rsidRDefault="00BD6001" w14:paraId="5002FE24" w14:textId="77777777">
      <w:pPr>
        <w:spacing w:after="0" w:line="240" w:lineRule="auto"/>
      </w:pPr>
      <w:r>
        <w:separator/>
      </w:r>
    </w:p>
  </w:endnote>
  <w:endnote w:type="continuationSeparator" w:id="0">
    <w:p w:rsidR="00BD6001" w:rsidRDefault="00BD6001" w14:paraId="315CA31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HelveticaNeueLT Std">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80C5F" w:rsidRDefault="00080C5F" w14:paraId="45FB0818" w14:textId="77777777">
    <w:pPr>
      <w:pStyle w:val="Footer"/>
    </w:pPr>
  </w:p>
  <w:p w:rsidR="00080C5F" w:rsidRDefault="00080C5F" w14:paraId="049F31CB" w14:textId="77777777">
    <w:pPr>
      <w:pStyle w:val="Footer"/>
    </w:pPr>
  </w:p>
  <w:p w:rsidR="00080C5F" w:rsidRDefault="00080C5F" w14:paraId="53128261" w14:textId="77777777">
    <w:pPr>
      <w:pStyle w:val="Footer"/>
    </w:pPr>
  </w:p>
  <w:p w:rsidR="00080C5F" w:rsidRDefault="00080C5F" w14:paraId="62486C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80C5F" w:rsidRDefault="00080C5F" w14:paraId="1299C43A"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D6001" w:rsidRDefault="00BD6001" w14:paraId="53E561BD" w14:textId="77777777">
      <w:pPr>
        <w:spacing w:after="0" w:line="240" w:lineRule="auto"/>
      </w:pPr>
      <w:r>
        <w:separator/>
      </w:r>
    </w:p>
  </w:footnote>
  <w:footnote w:type="continuationSeparator" w:id="0">
    <w:p w:rsidR="00BD6001" w:rsidRDefault="00BD6001" w14:paraId="2C7E433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080C5F" w:rsidRDefault="00BD6001" w14:paraId="17E5B0F8" w14:textId="77777777">
    <w:r>
      <w:rPr>
        <w:noProof/>
        <w:lang w:val="it-IT" w:eastAsia="zh-CN"/>
      </w:rPr>
      <w:drawing>
        <wp:anchor distT="0" distB="0" distL="114300" distR="114300" simplePos="0" relativeHeight="251663360" behindDoc="1" locked="0" layoutInCell="1" allowOverlap="1" wp14:anchorId="296284D2" wp14:editId="07777777">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6C4ED77A">
      <w:rPr/>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080C5F" w14:paraId="0E27B00A" w14:textId="77777777">
      <w:trPr>
        <w:trHeight w:val="735"/>
      </w:trPr>
      <w:tc>
        <w:tcPr>
          <w:tcW w:w="2614" w:type="dxa"/>
          <w:shd w:val="clear" w:color="auto" w:fill="auto"/>
          <w:vAlign w:val="bottom"/>
        </w:tcPr>
        <w:p w:rsidR="00080C5F" w:rsidRDefault="00080C5F" w14:paraId="60061E4C" w14:textId="77777777">
          <w:pPr>
            <w:pStyle w:val="04FOOTER"/>
            <w:ind w:right="-101"/>
          </w:pPr>
        </w:p>
      </w:tc>
      <w:tc>
        <w:tcPr>
          <w:tcW w:w="2835" w:type="dxa"/>
        </w:tcPr>
        <w:p w:rsidR="00080C5F" w:rsidRDefault="00080C5F" w14:paraId="44EAFD9C" w14:textId="77777777">
          <w:pPr>
            <w:pStyle w:val="04FOOTER"/>
            <w:ind w:right="-101"/>
          </w:pPr>
        </w:p>
        <w:p w:rsidR="00080C5F" w:rsidRDefault="00080C5F" w14:paraId="4B94D5A5" w14:textId="77777777">
          <w:pPr>
            <w:pStyle w:val="04FOOTER"/>
            <w:ind w:right="-101"/>
          </w:pPr>
        </w:p>
        <w:p w:rsidR="00080C5F" w:rsidRDefault="00080C5F" w14:paraId="3DEEC669" w14:textId="77777777">
          <w:pPr>
            <w:pStyle w:val="04FOOTER"/>
            <w:ind w:right="-101"/>
          </w:pPr>
        </w:p>
        <w:p w:rsidR="00080C5F" w:rsidRDefault="00080C5F" w14:paraId="3656B9AB" w14:textId="77777777">
          <w:pPr>
            <w:pStyle w:val="04FOOTER"/>
            <w:ind w:right="-101"/>
          </w:pPr>
        </w:p>
      </w:tc>
    </w:tr>
  </w:tbl>
  <w:p w:rsidR="00080C5F" w:rsidRDefault="00BD6001" w14:paraId="2E417206"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22ACDBB1" wp14:editId="07777777">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082EC131" wp14:editId="07777777">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r w:rsidR="6C4ED77A">
      <w:rPr/>
      <w:t/>
    </w:r>
  </w:p>
  <w:p w:rsidR="00080C5F" w:rsidRDefault="00BD6001" w14:paraId="2E909A6C" w14:textId="77777777">
    <w:r>
      <w:rPr>
        <w:noProof/>
        <w:lang w:val="it-IT" w:eastAsia="zh-CN"/>
      </w:rPr>
      <w:drawing>
        <wp:anchor distT="0" distB="0" distL="114300" distR="114300" simplePos="0" relativeHeight="251661312" behindDoc="1" locked="0" layoutInCell="1" allowOverlap="1" wp14:anchorId="3B31805C" wp14:editId="07777777">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43D64300" wp14:editId="07777777">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2FBDA7F7">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09498AD8" wp14:editId="07777777">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21E045B8">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r w:rsidR="6C4ED77A">
      <w:rP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hint="default" w:ascii="Symbol" w:hAnsi="Symbol"/>
      </w:rPr>
    </w:lvl>
    <w:lvl w:ilvl="1" w:tplc="04090003">
      <w:start w:val="1"/>
      <w:numFmt w:val="bullet"/>
      <w:lvlText w:val="o"/>
      <w:lvlJc w:val="left"/>
      <w:pPr>
        <w:ind w:left="1548" w:hanging="360"/>
      </w:pPr>
      <w:rPr>
        <w:rFonts w:hint="default" w:ascii="Courier New" w:hAnsi="Courier New" w:cs="Courier New"/>
      </w:rPr>
    </w:lvl>
    <w:lvl w:ilvl="2" w:tplc="04090005">
      <w:start w:val="1"/>
      <w:numFmt w:val="bullet"/>
      <w:lvlText w:val=""/>
      <w:lvlJc w:val="left"/>
      <w:pPr>
        <w:ind w:left="2268" w:hanging="360"/>
      </w:pPr>
      <w:rPr>
        <w:rFonts w:hint="default" w:ascii="Wingdings" w:hAnsi="Wingdings"/>
      </w:rPr>
    </w:lvl>
    <w:lvl w:ilvl="3" w:tplc="04090001">
      <w:start w:val="1"/>
      <w:numFmt w:val="bullet"/>
      <w:lvlText w:val=""/>
      <w:lvlJc w:val="left"/>
      <w:pPr>
        <w:ind w:left="2988" w:hanging="360"/>
      </w:pPr>
      <w:rPr>
        <w:rFonts w:hint="default" w:ascii="Symbol" w:hAnsi="Symbol"/>
      </w:rPr>
    </w:lvl>
    <w:lvl w:ilvl="4" w:tplc="04090003">
      <w:start w:val="1"/>
      <w:numFmt w:val="bullet"/>
      <w:lvlText w:val="o"/>
      <w:lvlJc w:val="left"/>
      <w:pPr>
        <w:ind w:left="3708" w:hanging="360"/>
      </w:pPr>
      <w:rPr>
        <w:rFonts w:hint="default" w:ascii="Courier New" w:hAnsi="Courier New" w:cs="Courier New"/>
      </w:rPr>
    </w:lvl>
    <w:lvl w:ilvl="5" w:tplc="04090005">
      <w:start w:val="1"/>
      <w:numFmt w:val="bullet"/>
      <w:lvlText w:val=""/>
      <w:lvlJc w:val="left"/>
      <w:pPr>
        <w:ind w:left="4428" w:hanging="360"/>
      </w:pPr>
      <w:rPr>
        <w:rFonts w:hint="default" w:ascii="Wingdings" w:hAnsi="Wingdings"/>
      </w:rPr>
    </w:lvl>
    <w:lvl w:ilvl="6" w:tplc="04090001">
      <w:start w:val="1"/>
      <w:numFmt w:val="bullet"/>
      <w:lvlText w:val=""/>
      <w:lvlJc w:val="left"/>
      <w:pPr>
        <w:ind w:left="5148" w:hanging="360"/>
      </w:pPr>
      <w:rPr>
        <w:rFonts w:hint="default" w:ascii="Symbol" w:hAnsi="Symbol"/>
      </w:rPr>
    </w:lvl>
    <w:lvl w:ilvl="7" w:tplc="04090003">
      <w:start w:val="1"/>
      <w:numFmt w:val="bullet"/>
      <w:lvlText w:val="o"/>
      <w:lvlJc w:val="left"/>
      <w:pPr>
        <w:ind w:left="5868" w:hanging="360"/>
      </w:pPr>
      <w:rPr>
        <w:rFonts w:hint="default" w:ascii="Courier New" w:hAnsi="Courier New" w:cs="Courier New"/>
      </w:rPr>
    </w:lvl>
    <w:lvl w:ilvl="8" w:tplc="04090005">
      <w:start w:val="1"/>
      <w:numFmt w:val="bullet"/>
      <w:lvlText w:val=""/>
      <w:lvlJc w:val="left"/>
      <w:pPr>
        <w:ind w:left="6588"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true"/>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1B79C03A"/>
    <w:rsid w:val="00080C5F"/>
    <w:rsid w:val="00BD6001"/>
    <w:rsid w:val="00C54CCA"/>
    <w:rsid w:val="00E9456F"/>
    <w:rsid w:val="06D521B0"/>
    <w:rsid w:val="06FC1640"/>
    <w:rsid w:val="0D6F5061"/>
    <w:rsid w:val="0E20B669"/>
    <w:rsid w:val="0F2939AF"/>
    <w:rsid w:val="12D4B2DF"/>
    <w:rsid w:val="130B974A"/>
    <w:rsid w:val="14692F52"/>
    <w:rsid w:val="1643380C"/>
    <w:rsid w:val="167DE348"/>
    <w:rsid w:val="19B5E9F9"/>
    <w:rsid w:val="1B79C03A"/>
    <w:rsid w:val="1D68042A"/>
    <w:rsid w:val="209FA4EC"/>
    <w:rsid w:val="2258B61C"/>
    <w:rsid w:val="27BD77C2"/>
    <w:rsid w:val="2960C8B8"/>
    <w:rsid w:val="2E259B4C"/>
    <w:rsid w:val="300E5251"/>
    <w:rsid w:val="309CA059"/>
    <w:rsid w:val="31096A57"/>
    <w:rsid w:val="36D39EA3"/>
    <w:rsid w:val="3BCA3877"/>
    <w:rsid w:val="3C6A6FCE"/>
    <w:rsid w:val="3F3ED56E"/>
    <w:rsid w:val="400AB6B5"/>
    <w:rsid w:val="45ACA703"/>
    <w:rsid w:val="4BB13455"/>
    <w:rsid w:val="4C9436E7"/>
    <w:rsid w:val="4DC3D453"/>
    <w:rsid w:val="4EE35E08"/>
    <w:rsid w:val="536D7F56"/>
    <w:rsid w:val="5401B82B"/>
    <w:rsid w:val="542FCDAD"/>
    <w:rsid w:val="55CEE638"/>
    <w:rsid w:val="579822A8"/>
    <w:rsid w:val="5ECDBB10"/>
    <w:rsid w:val="62BFD393"/>
    <w:rsid w:val="659A83F9"/>
    <w:rsid w:val="667F6969"/>
    <w:rsid w:val="682597C4"/>
    <w:rsid w:val="6A0B8D5C"/>
    <w:rsid w:val="6B674729"/>
    <w:rsid w:val="6C4ED77A"/>
    <w:rsid w:val="6D5C3263"/>
    <w:rsid w:val="6FA464B5"/>
    <w:rsid w:val="700D2352"/>
    <w:rsid w:val="71D0F993"/>
    <w:rsid w:val="72AB5799"/>
    <w:rsid w:val="7D7F1CE3"/>
    <w:rsid w:val="7E4970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E0EC489"/>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Pr>
      <w:rFonts w:eastAsiaTheme="minorEastAsia"/>
      <w:lang w:val="en-US" w:eastAsia="zh-CN"/>
    </w:rPr>
  </w:style>
  <w:style w:type="paragraph" w:styleId="04FOOTER" w:customStyle="1">
    <w:name w:val="04_FOOTER"/>
    <w:basedOn w:val="Normal"/>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Pr>
      <w:color w:val="0000FF"/>
      <w:u w:val="single"/>
    </w:rPr>
  </w:style>
  <w:style w:type="character" w:styleId="s17" w:customStyle="1">
    <w:name w:val="s17"/>
    <w:basedOn w:val="DefaultParagraphFont"/>
  </w:style>
  <w:style w:type="paragraph" w:styleId="01TESTO" w:customStyle="1">
    <w:name w:val="01_TESTO"/>
    <w:basedOn w:val="Normal"/>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Pr>
      <w:rFonts w:ascii="Courier New" w:hAnsi="Courier New" w:eastAsia="Times New Roman" w:cs="Courier New"/>
      <w:sz w:val="20"/>
      <w:szCs w:val="20"/>
      <w:lang w:eastAsia="en-GB"/>
    </w:rPr>
  </w:style>
  <w:style w:type="paragraph" w:styleId="CommentText">
    <w:name w:val="annotation text"/>
    <w:basedOn w:val="Normal"/>
    <w:link w:val="CommentTextChar"/>
    <w:semiHidden/>
    <w:unhideWhenUsed/>
    <w:pPr>
      <w:spacing w:after="0" w:line="300" w:lineRule="exact"/>
    </w:pPr>
    <w:rPr>
      <w:rFonts w:ascii="Arial" w:hAnsi="Arial" w:eastAsia="Times New Roman" w:cs="Times New Roman"/>
      <w:color w:val="000000"/>
      <w:sz w:val="20"/>
      <w:szCs w:val="20"/>
      <w:lang w:val="it-IT" w:eastAsia="it-IT"/>
    </w:rPr>
  </w:style>
  <w:style w:type="character" w:styleId="CommentTextChar" w:customStyle="1">
    <w:name w:val="Comment Text Char"/>
    <w:basedOn w:val="DefaultParagraphFont"/>
    <w:link w:val="CommentText"/>
    <w:semiHidden/>
    <w:rPr>
      <w:rFonts w:ascii="Arial" w:hAnsi="Arial" w:eastAsia="Times New Roman" w:cs="Times New Roman"/>
      <w:color w:val="000000"/>
      <w:sz w:val="20"/>
      <w:szCs w:val="20"/>
      <w:lang w:val="it-IT" w:eastAsia="it-IT"/>
    </w:rPr>
  </w:style>
  <w:style w:type="paragraph" w:styleId="ListParagraph">
    <w:name w:val="List Paragraph"/>
    <w:basedOn w:val="Normal"/>
    <w:uiPriority w:val="34"/>
    <w:qFormat/>
    <w:pPr>
      <w:spacing w:after="0" w:line="240" w:lineRule="auto"/>
      <w:ind w:left="720"/>
      <w:contextualSpacing/>
    </w:pPr>
    <w:rPr>
      <w:rFonts w:ascii="Calibri" w:hAnsi="Calibri" w:eastAsia="Calibri" w:cs="Times New Roman"/>
      <w:lang w:val="en-US"/>
    </w:rPr>
  </w:style>
  <w:style w:type="character" w:styleId="CommentReference">
    <w:name w:val="annotation reference"/>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Pr>
      <w:rFonts w:ascii="Segoe UI" w:hAnsi="Segoe UI" w:cs="Segoe UI"/>
      <w:sz w:val="18"/>
      <w:szCs w:val="18"/>
    </w:rPr>
  </w:style>
  <w:style w:type="table" w:styleId="TableGrid">
    <w:name w:val="Table Grid"/>
    <w:aliases w:val="PIEDINO"/>
    <w:basedOn w:val="TableNormal"/>
    <w:uiPriority w:val="59"/>
    <w:pPr>
      <w:spacing w:after="0" w:line="160" w:lineRule="exact"/>
    </w:pPr>
    <w:rPr>
      <w:rFonts w:ascii="Arial" w:hAnsi="Arial" w:eastAsia="Times New Roman"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Pr>
      <w:color w:val="605E5C"/>
      <w:shd w:val="clear" w:color="auto" w:fill="E1DFDD"/>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styleId="SubtitleChar" w:customStyle="1">
    <w:name w:val="Subtitle Char"/>
    <w:basedOn w:val="DefaultParagraphFont"/>
    <w:link w:val="Subtitle"/>
    <w:uiPriority w:val="11"/>
    <w:rPr>
      <w:rFonts w:eastAsiaTheme="minorEastAsia"/>
      <w:color w:val="5A5A5A" w:themeColor="text1" w:themeTint="A5"/>
      <w:spacing w:val="15"/>
    </w:rPr>
  </w:style>
  <w:style w:type="paragraph" w:styleId="Revision">
    <w:name w:val="Revision"/>
    <w:hidden/>
    <w:uiPriority w:val="99"/>
    <w:semiHidden/>
    <w:pPr>
      <w:spacing w:after="0" w:line="240" w:lineRule="auto"/>
    </w:pPr>
  </w:style>
  <w:style w:type="paragraph" w:styleId="Header">
    <w:name w:val="header"/>
    <w:basedOn w:val="Normal"/>
    <w:link w:val="HeaderChar"/>
    <w:uiPriority w:val="99"/>
    <w:unhideWhenUsed/>
    <w:rsid w:val="00C54CCA"/>
    <w:pPr>
      <w:tabs>
        <w:tab w:val="center" w:pos="4536"/>
        <w:tab w:val="right" w:pos="9072"/>
      </w:tabs>
      <w:spacing w:after="0" w:line="240" w:lineRule="auto"/>
    </w:pPr>
  </w:style>
  <w:style w:type="character" w:styleId="HeaderChar" w:customStyle="1">
    <w:name w:val="Header Char"/>
    <w:basedOn w:val="DefaultParagraphFont"/>
    <w:link w:val="Header"/>
    <w:uiPriority w:val="99"/>
    <w:rsid w:val="00C54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file:///C:/Users/User/Dropbox/Nuria/AppData/Local/Microsoft/Windows/Temporary%20Internet%20Files/Content.Outlook/3POTRISZ/www.cnhindustrial.com" TargetMode="External" Id="rId18" /><Relationship Type="http://schemas.openxmlformats.org/officeDocument/2006/relationships/customXml" Target="../customXml/item3.xml" Id="rId3" /><Relationship Type="http://schemas.openxmlformats.org/officeDocument/2006/relationships/header" Target="header2.xml" Id="rId21" /><Relationship Type="http://schemas.openxmlformats.org/officeDocument/2006/relationships/settings" Target="settings.xml" Id="rId7" /><Relationship Type="http://schemas.openxmlformats.org/officeDocument/2006/relationships/hyperlink" Target="http://www.casetools.com/press-kit" TargetMode="External" Id="rId12" /><Relationship Type="http://schemas.openxmlformats.org/officeDocument/2006/relationships/hyperlink" Target="http://www.casece.com/" TargetMode="External" Id="rId17" /><Relationship Type="http://schemas.openxmlformats.org/officeDocument/2006/relationships/customXml" Target="../customXml/item2.xml" Id="rId2"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abernard@tpilocation.fr" TargetMode="External"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header" Target="head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22" /><Relationship Type="http://schemas.openxmlformats.org/officeDocument/2006/relationships/image" Target="/media/image8.png" Id="R90dca576a83d4b7e" /><Relationship Type="http://schemas.openxmlformats.org/officeDocument/2006/relationships/image" Target="/media/image9.png" Id="R20ced91141564e45" /><Relationship Type="http://schemas.openxmlformats.org/officeDocument/2006/relationships/image" Target="/media/imagea.png" Id="Rdb1b132eb4fc4832" /><Relationship Type="http://schemas.openxmlformats.org/officeDocument/2006/relationships/image" Target="/media/imageb.png" Id="R425c027cc7214d10"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isl xmlns:xsi="http://www.w3.org/2001/XMLSchema-instance" xmlns:xsd="http://www.w3.org/2001/XMLSchema" xmlns="http://www.boldonjames.com/2008/01/sie/internal/label" sislVersion="0" policy="18fbfd49-c8e6-4618-a77f-5ef25245836c" origin="userSelected">
  <element uid="1239ecc3-00e0-482b-a8a4-82e46943bfcc" value=""/>
  <element uid="588104ae-2895-48f0-94e0-4417fcf0f7f0" value=""/>
</sisl>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409820A7-EA76-49DF-8664-7ABD2BF9D7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7DC624-A8DF-4403-89EC-1CF34114F66E}">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4E3D6464-C53F-4B5A-8942-0C05C889495C}">
  <ds:schemaRefs>
    <ds:schemaRef ds:uri="http://schemas.microsoft.com/sharepoint/v3/contenttype/forms"/>
  </ds:schemaRefs>
</ds:datastoreItem>
</file>

<file path=customXml/itemProps4.xml><?xml version="1.0" encoding="utf-8"?>
<ds:datastoreItem xmlns:ds="http://schemas.openxmlformats.org/officeDocument/2006/customXml" ds:itemID="{01FB45DD-A8C5-4D92-B129-9BF886E41751}">
  <ds:schemaRefs>
    <ds:schemaRef ds:uri="http://schemas.microsoft.com/office/2006/documentManagement/types"/>
    <ds:schemaRef ds:uri="http://www.w3.org/XML/1998/namespace"/>
    <ds:schemaRef ds:uri="http://schemas.microsoft.com/office/2006/metadata/properties"/>
    <ds:schemaRef ds:uri="http://schemas.microsoft.com/office/infopath/2007/PartnerControls"/>
    <ds:schemaRef ds:uri="http://purl.org/dc/dcmitype/"/>
    <ds:schemaRef ds:uri="http://purl.org/dc/elements/1.1/"/>
    <ds:schemaRef ds:uri="http://purl.org/dc/terms/"/>
    <ds:schemaRef ds:uri="http://schemas.openxmlformats.org/package/2006/metadata/core-properties"/>
    <ds:schemaRef ds:uri="ee50a320-7cab-480e-8dab-74586aaed348"/>
    <ds:schemaRef ds:uri="ae82bc55-adb9-499f-a89d-8cc34ff9b62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4</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Rakhee Rathod</lastModifiedBy>
  <revision>3</revision>
  <dcterms:created xsi:type="dcterms:W3CDTF">2020-11-23T16:35:00.0000000Z</dcterms:created>
  <dcterms:modified xsi:type="dcterms:W3CDTF">2020-11-24T12:07:06.9319136Z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18261234-58fd-451d-85ee-8b2bd1e1b8fc</vt:lpwstr>
  </property>
  <property fmtid="{D5CDD505-2E9C-101B-9397-08002B2CF9AE}" pid="4" name="bjSaver">
    <vt:lpwstr>fLVRD34VGe2LO2vVmfskg/TnJmH25Gf/</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uid="1239ecc3-00e0-482b-a8a4-82e46943bfcc" value="" /&gt;&lt;element uid="588104ae-2895-48f0-94e0-4417fcf0f7f0" value="" /&gt;&lt;/sisl&gt;</vt:lpwstr>
  </property>
  <property fmtid="{D5CDD505-2E9C-101B-9397-08002B2CF9AE}" pid="7" name="bjDocumentSecurityLabel">
    <vt:lpwstr>CNH Industrial: PUBLIC  Contains no personal data</vt:lpwstr>
  </property>
  <property fmtid="{D5CDD505-2E9C-101B-9397-08002B2CF9AE}" pid="8" name="CNH-LabelledBy:">
    <vt:lpwstr>ND192,23.11.2020 13:01:48,PUBLIC</vt:lpwstr>
  </property>
  <property fmtid="{D5CDD505-2E9C-101B-9397-08002B2CF9AE}" pid="9" name="CNH-Classification">
    <vt:lpwstr>[PUBLIC - Contains no personal data]</vt:lpwstr>
  </property>
</Properties>
</file>